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239" w:rsidRPr="006444F4" w:rsidRDefault="00A76239" w:rsidP="005B263A">
      <w:pPr>
        <w:pStyle w:val="a4"/>
        <w:rPr>
          <w:b/>
          <w:sz w:val="28"/>
          <w:szCs w:val="28"/>
        </w:rPr>
      </w:pPr>
      <w:bookmarkStart w:id="0" w:name="_GoBack"/>
      <w:bookmarkEnd w:id="0"/>
      <w:r w:rsidRPr="00407115">
        <w:rPr>
          <w:b/>
          <w:sz w:val="28"/>
          <w:szCs w:val="28"/>
        </w:rPr>
        <w:t>УДК</w:t>
      </w:r>
      <w:r>
        <w:rPr>
          <w:b/>
          <w:sz w:val="28"/>
          <w:szCs w:val="28"/>
        </w:rPr>
        <w:t xml:space="preserve"> 336.77:330.564.2(571.6)</w:t>
      </w:r>
    </w:p>
    <w:p w:rsidR="00A76239" w:rsidRPr="006444F4" w:rsidRDefault="00A76239" w:rsidP="005B263A">
      <w:pPr>
        <w:pStyle w:val="a4"/>
        <w:rPr>
          <w:b/>
          <w:sz w:val="28"/>
          <w:szCs w:val="28"/>
        </w:rPr>
      </w:pPr>
    </w:p>
    <w:p w:rsidR="006444F4" w:rsidRPr="001647D6" w:rsidRDefault="006444F4" w:rsidP="006444F4">
      <w:pPr>
        <w:autoSpaceDE w:val="0"/>
        <w:autoSpaceDN w:val="0"/>
        <w:adjustRightInd w:val="0"/>
        <w:spacing w:after="0" w:line="240" w:lineRule="auto"/>
        <w:jc w:val="both"/>
        <w:rPr>
          <w:sz w:val="28"/>
          <w:szCs w:val="28"/>
          <w:lang w:eastAsia="ja-JP"/>
        </w:rPr>
      </w:pPr>
      <w:r>
        <w:rPr>
          <w:b/>
          <w:sz w:val="28"/>
          <w:szCs w:val="28"/>
          <w:lang w:eastAsia="ja-JP"/>
        </w:rPr>
        <w:t>Рензин Олег Маркович</w:t>
      </w:r>
      <w:r>
        <w:rPr>
          <w:sz w:val="28"/>
          <w:szCs w:val="28"/>
          <w:lang w:eastAsia="ja-JP"/>
        </w:rPr>
        <w:t xml:space="preserve"> – </w:t>
      </w:r>
      <w:r>
        <w:rPr>
          <w:sz w:val="28"/>
          <w:szCs w:val="28"/>
        </w:rPr>
        <w:t>канд. экон. наук,</w:t>
      </w:r>
      <w:r>
        <w:rPr>
          <w:sz w:val="28"/>
          <w:szCs w:val="28"/>
          <w:lang w:eastAsia="ja-JP"/>
        </w:rPr>
        <w:t xml:space="preserve"> зам. директора Института экономических исследований Дальневосточного отделения Российской академии наук (г. Хабаровск). </w:t>
      </w:r>
      <w:r w:rsidRPr="006444F4">
        <w:rPr>
          <w:i/>
          <w:sz w:val="28"/>
          <w:szCs w:val="28"/>
          <w:lang w:val="en-US"/>
        </w:rPr>
        <w:t>E</w:t>
      </w:r>
      <w:r w:rsidRPr="001647D6">
        <w:rPr>
          <w:i/>
          <w:sz w:val="28"/>
          <w:szCs w:val="28"/>
        </w:rPr>
        <w:t>-</w:t>
      </w:r>
      <w:r w:rsidRPr="006444F4">
        <w:rPr>
          <w:i/>
          <w:sz w:val="28"/>
          <w:szCs w:val="28"/>
          <w:lang w:val="en-US"/>
        </w:rPr>
        <w:t>mail</w:t>
      </w:r>
      <w:r w:rsidRPr="001647D6">
        <w:rPr>
          <w:i/>
          <w:sz w:val="28"/>
          <w:szCs w:val="28"/>
        </w:rPr>
        <w:t xml:space="preserve">: </w:t>
      </w:r>
      <w:r>
        <w:rPr>
          <w:i/>
          <w:sz w:val="28"/>
          <w:szCs w:val="28"/>
          <w:lang w:val="en-US" w:eastAsia="ja-JP"/>
        </w:rPr>
        <w:t>renzin</w:t>
      </w:r>
      <w:r w:rsidRPr="001647D6">
        <w:rPr>
          <w:i/>
          <w:sz w:val="28"/>
          <w:szCs w:val="28"/>
          <w:lang w:eastAsia="ja-JP"/>
        </w:rPr>
        <w:t>@</w:t>
      </w:r>
      <w:r>
        <w:rPr>
          <w:i/>
          <w:sz w:val="28"/>
          <w:szCs w:val="28"/>
          <w:lang w:val="en-US" w:eastAsia="ja-JP"/>
        </w:rPr>
        <w:t>ecrin</w:t>
      </w:r>
      <w:r w:rsidRPr="001647D6">
        <w:rPr>
          <w:i/>
          <w:sz w:val="28"/>
          <w:szCs w:val="28"/>
          <w:lang w:eastAsia="ja-JP"/>
        </w:rPr>
        <w:t>.</w:t>
      </w:r>
      <w:r>
        <w:rPr>
          <w:i/>
          <w:sz w:val="28"/>
          <w:szCs w:val="28"/>
          <w:lang w:val="en-US" w:eastAsia="ja-JP"/>
        </w:rPr>
        <w:t>ru</w:t>
      </w:r>
    </w:p>
    <w:p w:rsidR="00F3314A" w:rsidRPr="006444F4" w:rsidRDefault="006444F4" w:rsidP="006444F4">
      <w:pPr>
        <w:pStyle w:val="a4"/>
        <w:jc w:val="both"/>
        <w:rPr>
          <w:sz w:val="28"/>
          <w:szCs w:val="28"/>
        </w:rPr>
      </w:pPr>
      <w:r>
        <w:rPr>
          <w:b/>
          <w:sz w:val="28"/>
          <w:szCs w:val="28"/>
        </w:rPr>
        <w:t xml:space="preserve">Троп </w:t>
      </w:r>
      <w:r w:rsidR="00F3314A" w:rsidRPr="002F44BA">
        <w:rPr>
          <w:b/>
          <w:sz w:val="28"/>
          <w:szCs w:val="28"/>
        </w:rPr>
        <w:t>Татьяна Иосифовна</w:t>
      </w:r>
      <w:r w:rsidRPr="006444F4">
        <w:rPr>
          <w:b/>
          <w:sz w:val="28"/>
          <w:szCs w:val="28"/>
        </w:rPr>
        <w:t xml:space="preserve"> –</w:t>
      </w:r>
      <w:r w:rsidR="00F3314A" w:rsidRPr="002F44BA">
        <w:rPr>
          <w:b/>
          <w:sz w:val="28"/>
          <w:szCs w:val="28"/>
        </w:rPr>
        <w:t xml:space="preserve"> </w:t>
      </w:r>
      <w:r w:rsidR="00F3314A" w:rsidRPr="002F44BA">
        <w:rPr>
          <w:sz w:val="28"/>
          <w:szCs w:val="28"/>
        </w:rPr>
        <w:t xml:space="preserve">научный сотрудник </w:t>
      </w:r>
      <w:r>
        <w:rPr>
          <w:sz w:val="28"/>
          <w:szCs w:val="28"/>
          <w:lang w:eastAsia="ja-JP"/>
        </w:rPr>
        <w:t xml:space="preserve">Института экономических исследований Дальневосточного отделения Российской академии наук (г. Хабаровск). </w:t>
      </w:r>
      <w:r w:rsidRPr="006444F4">
        <w:rPr>
          <w:i/>
          <w:sz w:val="28"/>
          <w:szCs w:val="28"/>
          <w:lang w:val="en-US"/>
        </w:rPr>
        <w:t>E</w:t>
      </w:r>
      <w:r w:rsidRPr="006444F4">
        <w:rPr>
          <w:i/>
          <w:sz w:val="28"/>
          <w:szCs w:val="28"/>
        </w:rPr>
        <w:t>-</w:t>
      </w:r>
      <w:r w:rsidRPr="006444F4">
        <w:rPr>
          <w:i/>
          <w:sz w:val="28"/>
          <w:szCs w:val="28"/>
          <w:lang w:val="en-US"/>
        </w:rPr>
        <w:t>mail</w:t>
      </w:r>
      <w:r w:rsidRPr="006444F4">
        <w:rPr>
          <w:i/>
          <w:sz w:val="28"/>
          <w:szCs w:val="28"/>
        </w:rPr>
        <w:t xml:space="preserve">: </w:t>
      </w:r>
      <w:r>
        <w:rPr>
          <w:i/>
          <w:sz w:val="28"/>
          <w:szCs w:val="28"/>
          <w:lang w:val="en-US"/>
        </w:rPr>
        <w:t>trop</w:t>
      </w:r>
      <w:r w:rsidRPr="001647D6">
        <w:rPr>
          <w:i/>
          <w:sz w:val="28"/>
          <w:szCs w:val="28"/>
          <w:lang w:eastAsia="ja-JP"/>
        </w:rPr>
        <w:t>@</w:t>
      </w:r>
      <w:r>
        <w:rPr>
          <w:i/>
          <w:sz w:val="28"/>
          <w:szCs w:val="28"/>
          <w:lang w:val="en-US" w:eastAsia="ja-JP"/>
        </w:rPr>
        <w:t>ecrin</w:t>
      </w:r>
      <w:r w:rsidRPr="001647D6">
        <w:rPr>
          <w:i/>
          <w:sz w:val="28"/>
          <w:szCs w:val="28"/>
          <w:lang w:eastAsia="ja-JP"/>
        </w:rPr>
        <w:t>.</w:t>
      </w:r>
      <w:r>
        <w:rPr>
          <w:i/>
          <w:sz w:val="28"/>
          <w:szCs w:val="28"/>
          <w:lang w:val="en-US" w:eastAsia="ja-JP"/>
        </w:rPr>
        <w:t>ru</w:t>
      </w:r>
    </w:p>
    <w:p w:rsidR="006444F4" w:rsidRPr="006444F4" w:rsidRDefault="006444F4" w:rsidP="006444F4">
      <w:pPr>
        <w:spacing w:after="0" w:line="240" w:lineRule="auto"/>
        <w:ind w:right="283"/>
        <w:jc w:val="right"/>
        <w:rPr>
          <w:sz w:val="28"/>
          <w:szCs w:val="28"/>
        </w:rPr>
      </w:pPr>
    </w:p>
    <w:p w:rsidR="006444F4" w:rsidRPr="007E75B5" w:rsidRDefault="006444F4" w:rsidP="006444F4">
      <w:pPr>
        <w:spacing w:after="0" w:line="240" w:lineRule="auto"/>
        <w:ind w:right="283"/>
        <w:jc w:val="right"/>
        <w:rPr>
          <w:b/>
          <w:sz w:val="28"/>
          <w:szCs w:val="28"/>
        </w:rPr>
      </w:pPr>
      <w:r w:rsidRPr="007E75B5">
        <w:rPr>
          <w:b/>
          <w:sz w:val="28"/>
          <w:szCs w:val="28"/>
        </w:rPr>
        <w:t>О.М. Рензин</w:t>
      </w:r>
    </w:p>
    <w:p w:rsidR="006444F4" w:rsidRPr="007E75B5" w:rsidRDefault="006444F4" w:rsidP="006444F4">
      <w:pPr>
        <w:spacing w:after="0" w:line="240" w:lineRule="auto"/>
        <w:ind w:right="283"/>
        <w:jc w:val="right"/>
        <w:rPr>
          <w:b/>
          <w:sz w:val="28"/>
          <w:szCs w:val="28"/>
        </w:rPr>
      </w:pPr>
      <w:r w:rsidRPr="007E75B5">
        <w:rPr>
          <w:b/>
          <w:sz w:val="28"/>
          <w:szCs w:val="28"/>
        </w:rPr>
        <w:t>Т.И. Троп</w:t>
      </w:r>
    </w:p>
    <w:p w:rsidR="006444F4" w:rsidRPr="007E75B5" w:rsidRDefault="006444F4" w:rsidP="006444F4">
      <w:pPr>
        <w:spacing w:after="0" w:line="240" w:lineRule="auto"/>
        <w:ind w:right="283"/>
        <w:jc w:val="right"/>
        <w:rPr>
          <w:b/>
          <w:sz w:val="28"/>
          <w:szCs w:val="28"/>
          <w:lang w:val="en-US"/>
        </w:rPr>
      </w:pPr>
      <w:r w:rsidRPr="007E75B5">
        <w:rPr>
          <w:b/>
          <w:sz w:val="28"/>
          <w:szCs w:val="28"/>
          <w:lang w:val="en-US"/>
        </w:rPr>
        <w:t>O</w:t>
      </w:r>
      <w:r w:rsidRPr="00204980">
        <w:rPr>
          <w:b/>
          <w:sz w:val="28"/>
          <w:szCs w:val="28"/>
          <w:lang w:val="en-US"/>
        </w:rPr>
        <w:t>.</w:t>
      </w:r>
      <w:r w:rsidRPr="007E75B5">
        <w:rPr>
          <w:b/>
          <w:sz w:val="28"/>
          <w:szCs w:val="28"/>
          <w:lang w:val="en-US"/>
        </w:rPr>
        <w:t>M</w:t>
      </w:r>
      <w:r w:rsidRPr="00204980">
        <w:rPr>
          <w:b/>
          <w:sz w:val="28"/>
          <w:szCs w:val="28"/>
          <w:lang w:val="en-US"/>
        </w:rPr>
        <w:t xml:space="preserve">. </w:t>
      </w:r>
      <w:r w:rsidRPr="007E75B5">
        <w:rPr>
          <w:b/>
          <w:sz w:val="28"/>
          <w:szCs w:val="28"/>
          <w:lang w:val="en-US"/>
        </w:rPr>
        <w:t>Renzin</w:t>
      </w:r>
    </w:p>
    <w:p w:rsidR="003C301C" w:rsidRPr="00204980" w:rsidRDefault="003C301C" w:rsidP="006444F4">
      <w:pPr>
        <w:spacing w:after="0" w:line="240" w:lineRule="auto"/>
        <w:ind w:right="283"/>
        <w:jc w:val="right"/>
        <w:rPr>
          <w:b/>
          <w:sz w:val="28"/>
          <w:szCs w:val="28"/>
          <w:lang w:val="en-US"/>
        </w:rPr>
      </w:pPr>
      <w:r w:rsidRPr="007E75B5">
        <w:rPr>
          <w:b/>
          <w:sz w:val="28"/>
          <w:szCs w:val="28"/>
          <w:lang w:val="en-US"/>
        </w:rPr>
        <w:t>T</w:t>
      </w:r>
      <w:r w:rsidR="007E75B5" w:rsidRPr="007E75B5">
        <w:rPr>
          <w:b/>
          <w:sz w:val="28"/>
          <w:szCs w:val="28"/>
          <w:lang w:val="en-US"/>
        </w:rPr>
        <w:t>.</w:t>
      </w:r>
      <w:r w:rsidRPr="007E75B5">
        <w:rPr>
          <w:b/>
          <w:sz w:val="28"/>
          <w:szCs w:val="28"/>
          <w:lang w:val="en-US"/>
        </w:rPr>
        <w:t>I</w:t>
      </w:r>
      <w:r w:rsidR="007E75B5" w:rsidRPr="00204980">
        <w:rPr>
          <w:b/>
          <w:sz w:val="28"/>
          <w:szCs w:val="28"/>
          <w:lang w:val="en-US"/>
        </w:rPr>
        <w:t>.</w:t>
      </w:r>
      <w:r w:rsidRPr="00204980">
        <w:rPr>
          <w:b/>
          <w:sz w:val="28"/>
          <w:szCs w:val="28"/>
          <w:lang w:val="en-US"/>
        </w:rPr>
        <w:t xml:space="preserve"> </w:t>
      </w:r>
      <w:r w:rsidRPr="007E75B5">
        <w:rPr>
          <w:b/>
          <w:sz w:val="28"/>
          <w:szCs w:val="28"/>
          <w:lang w:val="en-US"/>
        </w:rPr>
        <w:t>Trop</w:t>
      </w:r>
    </w:p>
    <w:p w:rsidR="00F3314A" w:rsidRPr="00204980" w:rsidRDefault="00F3314A" w:rsidP="00F3314A">
      <w:pPr>
        <w:pStyle w:val="a4"/>
        <w:rPr>
          <w:b/>
          <w:sz w:val="28"/>
          <w:szCs w:val="28"/>
          <w:lang w:val="en-US"/>
        </w:rPr>
      </w:pPr>
    </w:p>
    <w:p w:rsidR="00C5513A" w:rsidRPr="002F44BA" w:rsidRDefault="00795386" w:rsidP="00EB1B78">
      <w:pPr>
        <w:pStyle w:val="a4"/>
        <w:jc w:val="center"/>
        <w:rPr>
          <w:b/>
          <w:sz w:val="28"/>
          <w:szCs w:val="28"/>
        </w:rPr>
      </w:pPr>
      <w:r w:rsidRPr="002F44BA">
        <w:rPr>
          <w:b/>
          <w:sz w:val="28"/>
          <w:szCs w:val="28"/>
        </w:rPr>
        <w:t>Кредитное поведение населения:</w:t>
      </w:r>
      <w:r w:rsidR="00487AC1" w:rsidRPr="002F44BA">
        <w:rPr>
          <w:b/>
          <w:sz w:val="28"/>
          <w:szCs w:val="28"/>
        </w:rPr>
        <w:t xml:space="preserve"> региональная компа</w:t>
      </w:r>
      <w:r w:rsidR="0034618C" w:rsidRPr="002F44BA">
        <w:rPr>
          <w:b/>
          <w:sz w:val="28"/>
          <w:szCs w:val="28"/>
        </w:rPr>
        <w:t>ративистика</w:t>
      </w:r>
      <w:r w:rsidRPr="002F44BA">
        <w:rPr>
          <w:b/>
          <w:sz w:val="28"/>
          <w:szCs w:val="28"/>
        </w:rPr>
        <w:t xml:space="preserve"> </w:t>
      </w:r>
    </w:p>
    <w:p w:rsidR="00EB1B78" w:rsidRPr="002F44BA" w:rsidRDefault="00EB1B78" w:rsidP="00EB1B78">
      <w:pPr>
        <w:pStyle w:val="a4"/>
        <w:jc w:val="both"/>
        <w:rPr>
          <w:sz w:val="28"/>
          <w:szCs w:val="28"/>
        </w:rPr>
      </w:pPr>
    </w:p>
    <w:p w:rsidR="001647D6" w:rsidRPr="001647D6" w:rsidRDefault="001647D6" w:rsidP="007E75B5">
      <w:pPr>
        <w:spacing w:after="0" w:line="240" w:lineRule="auto"/>
        <w:ind w:firstLine="709"/>
        <w:jc w:val="both"/>
        <w:rPr>
          <w:i/>
          <w:sz w:val="28"/>
          <w:szCs w:val="28"/>
        </w:rPr>
      </w:pPr>
      <w:r w:rsidRPr="001647D6">
        <w:rPr>
          <w:i/>
          <w:sz w:val="28"/>
          <w:szCs w:val="28"/>
        </w:rPr>
        <w:t>В статье исследуются региональная дифференциация российского рынка потребительского кредитования, зависимость его локальных характеристик от денежных доходов населения. Определены количественные взаимосвязи между уровнями регионального развития и особенностями кредитного поведения локализованного на</w:t>
      </w:r>
      <w:bookmarkStart w:id="1" w:name="OLE_LINK1"/>
      <w:bookmarkStart w:id="2" w:name="OLE_LINK2"/>
      <w:r>
        <w:rPr>
          <w:i/>
          <w:sz w:val="28"/>
          <w:szCs w:val="28"/>
        </w:rPr>
        <w:t xml:space="preserve"> территории региона населения. </w:t>
      </w:r>
      <w:r w:rsidRPr="001647D6">
        <w:rPr>
          <w:i/>
          <w:sz w:val="28"/>
          <w:szCs w:val="28"/>
        </w:rPr>
        <w:t>Проведен анализ динамических характеристик кредитной задолженности населения за 2010</w:t>
      </w:r>
      <w:r>
        <w:rPr>
          <w:i/>
          <w:sz w:val="28"/>
          <w:szCs w:val="28"/>
        </w:rPr>
        <w:t xml:space="preserve"> – </w:t>
      </w:r>
      <w:r w:rsidRPr="001647D6">
        <w:rPr>
          <w:i/>
          <w:sz w:val="28"/>
          <w:szCs w:val="28"/>
        </w:rPr>
        <w:t>2015 гг</w:t>
      </w:r>
      <w:r>
        <w:rPr>
          <w:i/>
          <w:sz w:val="28"/>
          <w:szCs w:val="28"/>
        </w:rPr>
        <w:t xml:space="preserve">. Установлено, что региональная </w:t>
      </w:r>
      <w:r w:rsidRPr="001647D6">
        <w:rPr>
          <w:i/>
          <w:sz w:val="28"/>
          <w:szCs w:val="28"/>
        </w:rPr>
        <w:t xml:space="preserve">дифференциация объемных и долевых показателей двух крайних децильных групп регионов – десяти лидеров и десяти аутсайдеров – крайне высока и имеет тенденцию к расширению. Кроме того, показано, что в благоприятных экономических условиях наиболее динамично происходят изменения в регионах с малыми объемными показателями, а при появлении кризисных явлений </w:t>
      </w:r>
      <w:r>
        <w:rPr>
          <w:i/>
          <w:sz w:val="28"/>
          <w:szCs w:val="28"/>
        </w:rPr>
        <w:t>– напротив, в наиболее крупных.</w:t>
      </w:r>
      <w:r w:rsidRPr="001647D6">
        <w:rPr>
          <w:i/>
          <w:sz w:val="28"/>
          <w:szCs w:val="28"/>
        </w:rPr>
        <w:t xml:space="preserve"> Оценены позиции ДФО и его субрегионов среди федеральных округов и субъектов РФ.</w:t>
      </w:r>
      <w:bookmarkEnd w:id="1"/>
      <w:bookmarkEnd w:id="2"/>
    </w:p>
    <w:p w:rsidR="001647D6" w:rsidRPr="001647D6" w:rsidRDefault="001647D6" w:rsidP="007E75B5">
      <w:pPr>
        <w:pStyle w:val="a4"/>
        <w:ind w:firstLine="708"/>
        <w:jc w:val="both"/>
        <w:rPr>
          <w:i/>
          <w:sz w:val="28"/>
          <w:szCs w:val="28"/>
        </w:rPr>
      </w:pPr>
    </w:p>
    <w:p w:rsidR="007E75B5" w:rsidRDefault="007E75B5" w:rsidP="007E75B5">
      <w:pPr>
        <w:spacing w:after="0" w:line="240" w:lineRule="auto"/>
        <w:ind w:firstLine="708"/>
        <w:jc w:val="both"/>
        <w:rPr>
          <w:b/>
          <w:sz w:val="28"/>
          <w:szCs w:val="28"/>
          <w:lang w:val="en-US"/>
        </w:rPr>
      </w:pPr>
      <w:r w:rsidRPr="001647D6">
        <w:rPr>
          <w:b/>
          <w:sz w:val="28"/>
          <w:szCs w:val="28"/>
          <w:lang w:val="en-US"/>
        </w:rPr>
        <w:t xml:space="preserve">Credit </w:t>
      </w:r>
      <w:r>
        <w:rPr>
          <w:b/>
          <w:sz w:val="28"/>
          <w:szCs w:val="28"/>
          <w:lang w:val="en-US"/>
        </w:rPr>
        <w:t>b</w:t>
      </w:r>
      <w:r w:rsidRPr="001647D6">
        <w:rPr>
          <w:b/>
          <w:sz w:val="28"/>
          <w:szCs w:val="28"/>
          <w:lang w:val="en-US"/>
        </w:rPr>
        <w:t xml:space="preserve">ehavior of the </w:t>
      </w:r>
      <w:r>
        <w:rPr>
          <w:b/>
          <w:sz w:val="28"/>
          <w:szCs w:val="28"/>
          <w:lang w:val="en-US"/>
        </w:rPr>
        <w:t>p</w:t>
      </w:r>
      <w:r w:rsidRPr="001647D6">
        <w:rPr>
          <w:b/>
          <w:sz w:val="28"/>
          <w:szCs w:val="28"/>
          <w:lang w:val="en-US"/>
        </w:rPr>
        <w:t xml:space="preserve">opulation: </w:t>
      </w:r>
      <w:r>
        <w:rPr>
          <w:b/>
          <w:sz w:val="28"/>
          <w:szCs w:val="28"/>
          <w:lang w:val="en-US"/>
        </w:rPr>
        <w:t>r</w:t>
      </w:r>
      <w:r w:rsidRPr="001647D6">
        <w:rPr>
          <w:b/>
          <w:sz w:val="28"/>
          <w:szCs w:val="28"/>
          <w:lang w:val="en-US"/>
        </w:rPr>
        <w:t xml:space="preserve">egional </w:t>
      </w:r>
      <w:r>
        <w:rPr>
          <w:b/>
          <w:sz w:val="28"/>
          <w:szCs w:val="28"/>
          <w:lang w:val="en-US"/>
        </w:rPr>
        <w:t>c</w:t>
      </w:r>
      <w:r w:rsidRPr="001647D6">
        <w:rPr>
          <w:b/>
          <w:sz w:val="28"/>
          <w:szCs w:val="28"/>
          <w:lang w:val="en-US"/>
        </w:rPr>
        <w:t xml:space="preserve">omparative </w:t>
      </w:r>
      <w:r>
        <w:rPr>
          <w:b/>
          <w:sz w:val="28"/>
          <w:szCs w:val="28"/>
          <w:lang w:val="en-US"/>
        </w:rPr>
        <w:t>a</w:t>
      </w:r>
      <w:r w:rsidRPr="001647D6">
        <w:rPr>
          <w:b/>
          <w:sz w:val="28"/>
          <w:szCs w:val="28"/>
          <w:lang w:val="en-US"/>
        </w:rPr>
        <w:t xml:space="preserve">nalysis </w:t>
      </w:r>
    </w:p>
    <w:p w:rsidR="007E75B5" w:rsidRPr="001647D6" w:rsidRDefault="007E75B5" w:rsidP="007E75B5">
      <w:pPr>
        <w:spacing w:after="0" w:line="240" w:lineRule="auto"/>
        <w:ind w:firstLine="708"/>
        <w:jc w:val="both"/>
        <w:rPr>
          <w:b/>
          <w:sz w:val="28"/>
          <w:szCs w:val="28"/>
          <w:lang w:val="en-US"/>
        </w:rPr>
      </w:pPr>
    </w:p>
    <w:p w:rsidR="007E75B5" w:rsidRPr="007E75B5" w:rsidRDefault="007E75B5" w:rsidP="007E75B5">
      <w:pPr>
        <w:spacing w:after="0" w:line="240" w:lineRule="auto"/>
        <w:ind w:firstLine="709"/>
        <w:jc w:val="both"/>
        <w:rPr>
          <w:i/>
          <w:sz w:val="28"/>
          <w:szCs w:val="28"/>
          <w:lang w:val="en-US"/>
        </w:rPr>
      </w:pPr>
      <w:r w:rsidRPr="007E75B5">
        <w:rPr>
          <w:i/>
          <w:sz w:val="28"/>
          <w:szCs w:val="28"/>
          <w:lang w:val="en-US"/>
        </w:rPr>
        <w:t xml:space="preserve">This paper investigates the regional differentiation of the consumer credit market, its dependence on the local characteristics of the income of the population. It estimated position of FEFD and its subregions among the federal districts and subjects of the Russian Federation. Quantitative relationship between the levels of regional development and characteristics of credit behavior of the localized population in the territory are analyzed. The dynamic characteristics analysis of the population’s loan debt in 2010 – 2015 was provided.  It has been argued that the regional differentiation of volume and equity indices of two extreme decile groups of the regions - ten leaders and ten outsiders - is extremely high and has a tendency to expand. Furthermore, it is shown that the most favorable economic </w:t>
      </w:r>
      <w:r w:rsidRPr="007E75B5">
        <w:rPr>
          <w:i/>
          <w:sz w:val="28"/>
          <w:szCs w:val="28"/>
          <w:lang w:val="en-US"/>
        </w:rPr>
        <w:lastRenderedPageBreak/>
        <w:t xml:space="preserve">conditions of dynamic changes occur in the regions with the small volume indicators, and during a crisis - on the contrary, in the largest. The position of FEFD and its subregions among the federal districts and subjects of the Russian Federation was estimated. </w:t>
      </w:r>
    </w:p>
    <w:p w:rsidR="007E75B5" w:rsidRPr="007E75B5" w:rsidRDefault="007E75B5" w:rsidP="007E75B5">
      <w:pPr>
        <w:spacing w:after="0" w:line="240" w:lineRule="auto"/>
        <w:jc w:val="both"/>
        <w:rPr>
          <w:i/>
          <w:sz w:val="28"/>
          <w:szCs w:val="28"/>
          <w:lang w:val="en-US"/>
        </w:rPr>
      </w:pPr>
    </w:p>
    <w:p w:rsidR="007E75B5" w:rsidRPr="007E75B5" w:rsidRDefault="007E75B5" w:rsidP="007E75B5">
      <w:pPr>
        <w:spacing w:after="0" w:line="240" w:lineRule="auto"/>
        <w:ind w:firstLine="709"/>
        <w:jc w:val="both"/>
        <w:rPr>
          <w:i/>
          <w:sz w:val="28"/>
          <w:szCs w:val="28"/>
          <w:lang w:val="en-US"/>
        </w:rPr>
      </w:pPr>
      <w:r w:rsidRPr="007E75B5">
        <w:rPr>
          <w:b/>
          <w:i/>
          <w:sz w:val="28"/>
          <w:szCs w:val="28"/>
          <w:lang w:val="en-US"/>
        </w:rPr>
        <w:t>Keywords:</w:t>
      </w:r>
      <w:r w:rsidRPr="007E75B5">
        <w:rPr>
          <w:i/>
          <w:sz w:val="28"/>
          <w:szCs w:val="28"/>
          <w:lang w:val="en-US"/>
        </w:rPr>
        <w:t xml:space="preserve"> territorial structure, regional differentiation, the Far East, consumer credit, personal incomes.</w:t>
      </w:r>
    </w:p>
    <w:p w:rsidR="007E75B5" w:rsidRPr="007E75B5" w:rsidRDefault="007E75B5" w:rsidP="007E75B5">
      <w:pPr>
        <w:spacing w:after="0" w:line="240" w:lineRule="auto"/>
        <w:ind w:firstLine="709"/>
        <w:jc w:val="both"/>
        <w:rPr>
          <w:i/>
          <w:sz w:val="28"/>
          <w:szCs w:val="28"/>
          <w:lang w:val="en-US"/>
        </w:rPr>
      </w:pPr>
    </w:p>
    <w:p w:rsidR="007E75B5" w:rsidRPr="001647D6" w:rsidRDefault="007E75B5" w:rsidP="007E75B5">
      <w:pPr>
        <w:pStyle w:val="a4"/>
        <w:ind w:firstLine="708"/>
        <w:jc w:val="both"/>
        <w:rPr>
          <w:i/>
          <w:sz w:val="28"/>
          <w:szCs w:val="28"/>
        </w:rPr>
      </w:pPr>
      <w:r w:rsidRPr="00F22FB7">
        <w:rPr>
          <w:b/>
          <w:i/>
          <w:sz w:val="28"/>
          <w:szCs w:val="28"/>
        </w:rPr>
        <w:t>Ключевые слова:</w:t>
      </w:r>
      <w:r w:rsidRPr="001647D6">
        <w:rPr>
          <w:i/>
          <w:sz w:val="28"/>
          <w:szCs w:val="28"/>
        </w:rPr>
        <w:t xml:space="preserve"> территориальная структура, региональная дифференциация, Дальний Восток, потребительское кредитование, доходы населения.</w:t>
      </w:r>
    </w:p>
    <w:p w:rsidR="001647D6" w:rsidRPr="007E75B5" w:rsidRDefault="001647D6" w:rsidP="007E75B5">
      <w:pPr>
        <w:spacing w:after="0" w:line="240" w:lineRule="auto"/>
      </w:pPr>
    </w:p>
    <w:p w:rsidR="00711D3C" w:rsidRPr="002F44BA" w:rsidRDefault="00F3314A" w:rsidP="00F22FB7">
      <w:pPr>
        <w:pStyle w:val="a4"/>
        <w:ind w:firstLine="708"/>
        <w:jc w:val="both"/>
        <w:rPr>
          <w:sz w:val="28"/>
          <w:szCs w:val="28"/>
        </w:rPr>
      </w:pPr>
      <w:r w:rsidRPr="002F44BA">
        <w:rPr>
          <w:sz w:val="28"/>
          <w:szCs w:val="28"/>
        </w:rPr>
        <w:t xml:space="preserve">Согласно теории </w:t>
      </w:r>
      <w:r w:rsidR="00EB1B78" w:rsidRPr="002F44BA">
        <w:rPr>
          <w:sz w:val="28"/>
          <w:szCs w:val="28"/>
        </w:rPr>
        <w:t>регион</w:t>
      </w:r>
      <w:r w:rsidRPr="002F44BA">
        <w:rPr>
          <w:sz w:val="28"/>
          <w:szCs w:val="28"/>
        </w:rPr>
        <w:t>ального развития,</w:t>
      </w:r>
      <w:r w:rsidR="00EB1B78" w:rsidRPr="002F44BA">
        <w:rPr>
          <w:sz w:val="28"/>
          <w:szCs w:val="28"/>
        </w:rPr>
        <w:t xml:space="preserve"> экономическое поведение </w:t>
      </w:r>
      <w:r w:rsidRPr="002F44BA">
        <w:rPr>
          <w:sz w:val="28"/>
          <w:szCs w:val="28"/>
        </w:rPr>
        <w:t>агентов рынка</w:t>
      </w:r>
      <w:r w:rsidR="00EB1B78" w:rsidRPr="002F44BA">
        <w:rPr>
          <w:sz w:val="28"/>
          <w:szCs w:val="28"/>
        </w:rPr>
        <w:t xml:space="preserve"> (в том числе кредитное и сберегательное поведение населения) имеет отличительные</w:t>
      </w:r>
      <w:r w:rsidRPr="002F44BA">
        <w:rPr>
          <w:sz w:val="28"/>
          <w:szCs w:val="28"/>
        </w:rPr>
        <w:t xml:space="preserve"> </w:t>
      </w:r>
      <w:r w:rsidR="00667A4B" w:rsidRPr="002F44BA">
        <w:rPr>
          <w:sz w:val="28"/>
          <w:szCs w:val="28"/>
        </w:rPr>
        <w:t xml:space="preserve">пространственные </w:t>
      </w:r>
      <w:r w:rsidRPr="002F44BA">
        <w:rPr>
          <w:sz w:val="28"/>
          <w:szCs w:val="28"/>
        </w:rPr>
        <w:t xml:space="preserve">характеристики и </w:t>
      </w:r>
      <w:r w:rsidR="00EB1B78" w:rsidRPr="002F44BA">
        <w:rPr>
          <w:sz w:val="28"/>
          <w:szCs w:val="28"/>
        </w:rPr>
        <w:t>особенности</w:t>
      </w:r>
      <w:r w:rsidRPr="002F44BA">
        <w:rPr>
          <w:sz w:val="28"/>
          <w:szCs w:val="28"/>
        </w:rPr>
        <w:t xml:space="preserve"> в реализации целевых функций</w:t>
      </w:r>
      <w:r w:rsidR="00EB1B78" w:rsidRPr="002F44BA">
        <w:rPr>
          <w:sz w:val="28"/>
          <w:szCs w:val="28"/>
        </w:rPr>
        <w:t xml:space="preserve">. </w:t>
      </w:r>
      <w:r w:rsidRPr="002F44BA">
        <w:rPr>
          <w:sz w:val="28"/>
          <w:szCs w:val="28"/>
        </w:rPr>
        <w:t xml:space="preserve">Учитывая значительную роль в </w:t>
      </w:r>
      <w:r w:rsidR="00711D3C" w:rsidRPr="002F44BA">
        <w:rPr>
          <w:sz w:val="28"/>
          <w:szCs w:val="28"/>
        </w:rPr>
        <w:t>процессе современного развития сегмента домохозяйств,</w:t>
      </w:r>
      <w:r w:rsidR="00EB1B78" w:rsidRPr="002F44BA">
        <w:rPr>
          <w:sz w:val="28"/>
          <w:szCs w:val="28"/>
        </w:rPr>
        <w:t xml:space="preserve"> особую актуальность приобретает изучение региональной дифференциации показателей, характеризующих рынок потребительского кредитования</w:t>
      </w:r>
      <w:r w:rsidR="00D930DC" w:rsidRPr="002F44BA">
        <w:rPr>
          <w:rStyle w:val="a7"/>
          <w:sz w:val="28"/>
          <w:szCs w:val="28"/>
        </w:rPr>
        <w:footnoteReference w:id="2"/>
      </w:r>
      <w:r w:rsidR="00EB1B78" w:rsidRPr="002F44BA">
        <w:rPr>
          <w:sz w:val="28"/>
          <w:szCs w:val="28"/>
        </w:rPr>
        <w:t>, и факторов, её определяющих</w:t>
      </w:r>
      <w:r w:rsidR="00711D3C" w:rsidRPr="002F44BA">
        <w:rPr>
          <w:sz w:val="28"/>
          <w:szCs w:val="28"/>
        </w:rPr>
        <w:t>.</w:t>
      </w:r>
    </w:p>
    <w:p w:rsidR="009C261F" w:rsidRPr="002F44BA" w:rsidRDefault="00EB1B78" w:rsidP="00F22FB7">
      <w:pPr>
        <w:pStyle w:val="a4"/>
        <w:ind w:firstLine="708"/>
        <w:jc w:val="both"/>
        <w:rPr>
          <w:sz w:val="28"/>
          <w:szCs w:val="28"/>
        </w:rPr>
      </w:pPr>
      <w:r w:rsidRPr="002F44BA">
        <w:rPr>
          <w:sz w:val="28"/>
          <w:szCs w:val="28"/>
        </w:rPr>
        <w:t xml:space="preserve">На разных этапах развития экономики на первый план могут выступать (и становиться определяющими) то факторы спроса на кредит, то факторы предложения. Кроме того, ряд факторов одновременно влияет и на спрос, и на предложение. </w:t>
      </w:r>
    </w:p>
    <w:p w:rsidR="002D12F3" w:rsidRPr="002F44BA" w:rsidRDefault="009C261F" w:rsidP="00F22FB7">
      <w:pPr>
        <w:pStyle w:val="a4"/>
        <w:ind w:firstLine="708"/>
        <w:jc w:val="both"/>
        <w:rPr>
          <w:sz w:val="28"/>
          <w:szCs w:val="28"/>
        </w:rPr>
      </w:pPr>
      <w:r w:rsidRPr="002F44BA">
        <w:rPr>
          <w:sz w:val="28"/>
          <w:szCs w:val="28"/>
        </w:rPr>
        <w:t>Российская экономическая литература включает большое количество разнообразных исследований реакции домохозяйств на изменения в параметрах кредитного рынка. Выделим работы Е.</w:t>
      </w:r>
      <w:r w:rsidR="00F22FB7" w:rsidRPr="00F22FB7">
        <w:rPr>
          <w:sz w:val="28"/>
          <w:szCs w:val="28"/>
        </w:rPr>
        <w:t xml:space="preserve"> </w:t>
      </w:r>
      <w:r w:rsidRPr="002F44BA">
        <w:rPr>
          <w:sz w:val="28"/>
          <w:szCs w:val="28"/>
        </w:rPr>
        <w:t>Гонтмахера, Д.</w:t>
      </w:r>
      <w:r w:rsidR="00F22FB7" w:rsidRPr="00F22FB7">
        <w:rPr>
          <w:sz w:val="28"/>
          <w:szCs w:val="28"/>
        </w:rPr>
        <w:t xml:space="preserve"> </w:t>
      </w:r>
      <w:r w:rsidRPr="002F44BA">
        <w:rPr>
          <w:sz w:val="28"/>
          <w:szCs w:val="28"/>
        </w:rPr>
        <w:t>Стребкова, М.</w:t>
      </w:r>
      <w:r w:rsidR="00F22FB7" w:rsidRPr="00F22FB7">
        <w:rPr>
          <w:sz w:val="28"/>
          <w:szCs w:val="28"/>
        </w:rPr>
        <w:t xml:space="preserve"> </w:t>
      </w:r>
      <w:r w:rsidRPr="002F44BA">
        <w:rPr>
          <w:sz w:val="28"/>
          <w:szCs w:val="28"/>
        </w:rPr>
        <w:t>Головина</w:t>
      </w:r>
      <w:r w:rsidR="003C301C">
        <w:rPr>
          <w:sz w:val="28"/>
          <w:szCs w:val="28"/>
        </w:rPr>
        <w:t xml:space="preserve"> </w:t>
      </w:r>
      <w:r w:rsidR="003C301C" w:rsidRPr="003C301C">
        <w:rPr>
          <w:sz w:val="28"/>
          <w:szCs w:val="28"/>
        </w:rPr>
        <w:t>[</w:t>
      </w:r>
      <w:r w:rsidR="003C301C">
        <w:rPr>
          <w:sz w:val="28"/>
          <w:szCs w:val="28"/>
        </w:rPr>
        <w:t>1</w:t>
      </w:r>
      <w:r w:rsidR="003C301C" w:rsidRPr="003C301C">
        <w:rPr>
          <w:sz w:val="28"/>
          <w:szCs w:val="28"/>
        </w:rPr>
        <w:t>, 2, 5]</w:t>
      </w:r>
      <w:r w:rsidR="00F22FB7" w:rsidRPr="002F44BA">
        <w:rPr>
          <w:sz w:val="28"/>
          <w:szCs w:val="28"/>
        </w:rPr>
        <w:t>.</w:t>
      </w:r>
      <w:r w:rsidR="00EB1B78" w:rsidRPr="002F44BA">
        <w:rPr>
          <w:sz w:val="28"/>
          <w:szCs w:val="28"/>
        </w:rPr>
        <w:t>Экспертами Банка России проведено большое исследование факторов спроса и предложения кредитов в России с помощью набора эконометрических методов</w:t>
      </w:r>
      <w:r w:rsidR="003C301C" w:rsidRPr="003C301C">
        <w:rPr>
          <w:sz w:val="28"/>
          <w:szCs w:val="28"/>
        </w:rPr>
        <w:t xml:space="preserve"> [3]</w:t>
      </w:r>
      <w:r w:rsidR="00F22FB7" w:rsidRPr="002F44BA">
        <w:rPr>
          <w:sz w:val="28"/>
          <w:szCs w:val="28"/>
        </w:rPr>
        <w:t>.</w:t>
      </w:r>
      <w:r w:rsidR="00F22FB7">
        <w:rPr>
          <w:sz w:val="28"/>
          <w:szCs w:val="28"/>
        </w:rPr>
        <w:t xml:space="preserve"> Однако</w:t>
      </w:r>
      <w:r w:rsidR="002D12F3" w:rsidRPr="002F44BA">
        <w:rPr>
          <w:sz w:val="28"/>
          <w:szCs w:val="28"/>
        </w:rPr>
        <w:t xml:space="preserve"> региональные аспекты этой проблемы оставляют для изучения ряд важных </w:t>
      </w:r>
      <w:r w:rsidR="00F22FB7">
        <w:rPr>
          <w:sz w:val="28"/>
          <w:szCs w:val="28"/>
        </w:rPr>
        <w:t>вопрос</w:t>
      </w:r>
      <w:r w:rsidR="002D12F3" w:rsidRPr="002F44BA">
        <w:rPr>
          <w:sz w:val="28"/>
          <w:szCs w:val="28"/>
        </w:rPr>
        <w:t>ов, связанных с пространственной дифференциацией поведения населения на кредитных рынках.</w:t>
      </w:r>
    </w:p>
    <w:p w:rsidR="00EB1B78" w:rsidRPr="002F44BA" w:rsidRDefault="00EB1B78" w:rsidP="00EB1B78">
      <w:pPr>
        <w:pStyle w:val="a4"/>
        <w:ind w:firstLine="708"/>
        <w:jc w:val="both"/>
        <w:rPr>
          <w:sz w:val="28"/>
          <w:szCs w:val="28"/>
        </w:rPr>
      </w:pPr>
      <w:r w:rsidRPr="002F44BA">
        <w:rPr>
          <w:sz w:val="28"/>
          <w:szCs w:val="28"/>
        </w:rPr>
        <w:t xml:space="preserve">В </w:t>
      </w:r>
      <w:r w:rsidR="00667A4B" w:rsidRPr="002F44BA">
        <w:rPr>
          <w:sz w:val="28"/>
          <w:szCs w:val="28"/>
        </w:rPr>
        <w:t>данном</w:t>
      </w:r>
      <w:r w:rsidRPr="002F44BA">
        <w:rPr>
          <w:sz w:val="28"/>
          <w:szCs w:val="28"/>
        </w:rPr>
        <w:t xml:space="preserve"> исследовании мы ограничились изучением сегмента банковского  потребительского (розничного) кредитования, ориентируясь на показатель задолженности по кредитам, предоставленным кредитными организациями физическим лицам-резидентам, как </w:t>
      </w:r>
      <w:r w:rsidR="00F22FB7">
        <w:rPr>
          <w:sz w:val="28"/>
          <w:szCs w:val="28"/>
        </w:rPr>
        <w:t xml:space="preserve">на </w:t>
      </w:r>
      <w:r w:rsidR="00667A4B" w:rsidRPr="002F44BA">
        <w:rPr>
          <w:sz w:val="28"/>
          <w:szCs w:val="28"/>
        </w:rPr>
        <w:t xml:space="preserve">один из </w:t>
      </w:r>
      <w:r w:rsidRPr="002F44BA">
        <w:rPr>
          <w:sz w:val="28"/>
          <w:szCs w:val="28"/>
        </w:rPr>
        <w:t>наиболее важны</w:t>
      </w:r>
      <w:r w:rsidR="00667A4B" w:rsidRPr="002F44BA">
        <w:rPr>
          <w:sz w:val="28"/>
          <w:szCs w:val="28"/>
        </w:rPr>
        <w:t>х</w:t>
      </w:r>
      <w:r w:rsidRPr="002F44BA">
        <w:rPr>
          <w:sz w:val="28"/>
          <w:szCs w:val="28"/>
        </w:rPr>
        <w:t xml:space="preserve"> из имеющихся в банковской статистике показателей рынка потребительских кредитов. Чтобы обеспечить сравнимость уровней региональных показателей рынка потребительского кредитования, объемные показатели брали в расчете на душу населения.</w:t>
      </w:r>
    </w:p>
    <w:p w:rsidR="00EB1B78" w:rsidRPr="002F44BA" w:rsidRDefault="00EB1B78" w:rsidP="00745808">
      <w:pPr>
        <w:pStyle w:val="a4"/>
        <w:ind w:firstLine="708"/>
        <w:jc w:val="both"/>
        <w:rPr>
          <w:sz w:val="28"/>
          <w:szCs w:val="28"/>
        </w:rPr>
      </w:pPr>
      <w:r w:rsidRPr="002F44BA">
        <w:rPr>
          <w:sz w:val="28"/>
          <w:szCs w:val="28"/>
        </w:rPr>
        <w:lastRenderedPageBreak/>
        <w:t>Характеристик</w:t>
      </w:r>
      <w:r w:rsidR="00667A4B" w:rsidRPr="002F44BA">
        <w:rPr>
          <w:sz w:val="28"/>
          <w:szCs w:val="28"/>
        </w:rPr>
        <w:t>и</w:t>
      </w:r>
      <w:r w:rsidRPr="002F44BA">
        <w:rPr>
          <w:sz w:val="28"/>
          <w:szCs w:val="28"/>
        </w:rPr>
        <w:t xml:space="preserve"> рынка потребительского кредитования (</w:t>
      </w:r>
      <w:r w:rsidR="00F22FB7">
        <w:rPr>
          <w:sz w:val="28"/>
          <w:szCs w:val="28"/>
        </w:rPr>
        <w:t xml:space="preserve">далее – </w:t>
      </w:r>
      <w:r w:rsidRPr="002F44BA">
        <w:rPr>
          <w:sz w:val="28"/>
          <w:szCs w:val="28"/>
        </w:rPr>
        <w:t xml:space="preserve">РПК) и его региональной дифференциации </w:t>
      </w:r>
      <w:r w:rsidR="00667A4B" w:rsidRPr="002F44BA">
        <w:rPr>
          <w:sz w:val="28"/>
          <w:szCs w:val="28"/>
        </w:rPr>
        <w:t>рассматривались</w:t>
      </w:r>
      <w:r w:rsidRPr="002F44BA">
        <w:rPr>
          <w:sz w:val="28"/>
          <w:szCs w:val="28"/>
        </w:rPr>
        <w:t xml:space="preserve"> по </w:t>
      </w:r>
      <w:r w:rsidR="00667A4B" w:rsidRPr="002F44BA">
        <w:rPr>
          <w:sz w:val="28"/>
          <w:szCs w:val="28"/>
        </w:rPr>
        <w:t xml:space="preserve">следующим </w:t>
      </w:r>
      <w:r w:rsidRPr="002F44BA">
        <w:rPr>
          <w:sz w:val="28"/>
          <w:szCs w:val="28"/>
        </w:rPr>
        <w:t>позициям</w:t>
      </w:r>
      <w:r w:rsidR="00667A4B" w:rsidRPr="002F44BA">
        <w:rPr>
          <w:sz w:val="28"/>
          <w:szCs w:val="28"/>
        </w:rPr>
        <w:t>:</w:t>
      </w:r>
      <w:r w:rsidRPr="002F44BA">
        <w:rPr>
          <w:sz w:val="28"/>
          <w:szCs w:val="28"/>
        </w:rPr>
        <w:t xml:space="preserve"> динамик</w:t>
      </w:r>
      <w:r w:rsidR="00F22FB7">
        <w:rPr>
          <w:sz w:val="28"/>
          <w:szCs w:val="28"/>
        </w:rPr>
        <w:t>е</w:t>
      </w:r>
      <w:r w:rsidRPr="002F44BA">
        <w:rPr>
          <w:sz w:val="28"/>
          <w:szCs w:val="28"/>
        </w:rPr>
        <w:t xml:space="preserve"> абсолютных и относительных показателей кредитной задолженности в целом по России и в разрезе федеральных округов и субъектов РФ (</w:t>
      </w:r>
      <w:r w:rsidR="00667A4B" w:rsidRPr="002F44BA">
        <w:rPr>
          <w:sz w:val="28"/>
          <w:szCs w:val="28"/>
        </w:rPr>
        <w:t>с выделением</w:t>
      </w:r>
      <w:r w:rsidRPr="002F44BA">
        <w:rPr>
          <w:sz w:val="28"/>
          <w:szCs w:val="28"/>
        </w:rPr>
        <w:t xml:space="preserve"> Д</w:t>
      </w:r>
      <w:r w:rsidR="00667A4B" w:rsidRPr="002F44BA">
        <w:rPr>
          <w:sz w:val="28"/>
          <w:szCs w:val="28"/>
        </w:rPr>
        <w:t>альневосточного федерального округа</w:t>
      </w:r>
      <w:r w:rsidRPr="002F44BA">
        <w:rPr>
          <w:sz w:val="28"/>
          <w:szCs w:val="28"/>
        </w:rPr>
        <w:t xml:space="preserve"> и его субрегионов)</w:t>
      </w:r>
      <w:r w:rsidR="00745808" w:rsidRPr="002F44BA">
        <w:rPr>
          <w:sz w:val="28"/>
          <w:szCs w:val="28"/>
        </w:rPr>
        <w:t>;</w:t>
      </w:r>
      <w:r w:rsidR="005072E7">
        <w:rPr>
          <w:sz w:val="28"/>
          <w:szCs w:val="28"/>
        </w:rPr>
        <w:t xml:space="preserve"> </w:t>
      </w:r>
      <w:r w:rsidRPr="002F44BA">
        <w:rPr>
          <w:sz w:val="28"/>
          <w:szCs w:val="28"/>
        </w:rPr>
        <w:t>территориальн</w:t>
      </w:r>
      <w:r w:rsidR="005072E7">
        <w:rPr>
          <w:sz w:val="28"/>
          <w:szCs w:val="28"/>
        </w:rPr>
        <w:t>ой</w:t>
      </w:r>
      <w:r w:rsidRPr="002F44BA">
        <w:rPr>
          <w:sz w:val="28"/>
          <w:szCs w:val="28"/>
        </w:rPr>
        <w:t xml:space="preserve"> структур</w:t>
      </w:r>
      <w:r w:rsidR="005072E7">
        <w:rPr>
          <w:sz w:val="28"/>
          <w:szCs w:val="28"/>
        </w:rPr>
        <w:t>е</w:t>
      </w:r>
      <w:r w:rsidRPr="002F44BA">
        <w:rPr>
          <w:sz w:val="28"/>
          <w:szCs w:val="28"/>
        </w:rPr>
        <w:t xml:space="preserve"> РПК и её изменени</w:t>
      </w:r>
      <w:r w:rsidR="005072E7">
        <w:rPr>
          <w:sz w:val="28"/>
          <w:szCs w:val="28"/>
        </w:rPr>
        <w:t>ю;</w:t>
      </w:r>
      <w:r w:rsidRPr="002F44BA">
        <w:rPr>
          <w:sz w:val="28"/>
          <w:szCs w:val="28"/>
        </w:rPr>
        <w:t xml:space="preserve"> среднедушевы</w:t>
      </w:r>
      <w:r w:rsidR="005072E7">
        <w:rPr>
          <w:sz w:val="28"/>
          <w:szCs w:val="28"/>
        </w:rPr>
        <w:t>м</w:t>
      </w:r>
      <w:r w:rsidRPr="002F44BA">
        <w:rPr>
          <w:sz w:val="28"/>
          <w:szCs w:val="28"/>
        </w:rPr>
        <w:t xml:space="preserve"> показател</w:t>
      </w:r>
      <w:r w:rsidR="005072E7">
        <w:rPr>
          <w:sz w:val="28"/>
          <w:szCs w:val="28"/>
        </w:rPr>
        <w:t>ям</w:t>
      </w:r>
      <w:r w:rsidRPr="002F44BA">
        <w:rPr>
          <w:sz w:val="28"/>
          <w:szCs w:val="28"/>
        </w:rPr>
        <w:t xml:space="preserve"> кредитной задолженности и их вариация</w:t>
      </w:r>
      <w:r w:rsidR="005072E7">
        <w:rPr>
          <w:sz w:val="28"/>
          <w:szCs w:val="28"/>
        </w:rPr>
        <w:t>м</w:t>
      </w:r>
      <w:r w:rsidRPr="002F44BA">
        <w:rPr>
          <w:sz w:val="28"/>
          <w:szCs w:val="28"/>
        </w:rPr>
        <w:t xml:space="preserve"> по ФО и субъектам РФ, обусловливающи</w:t>
      </w:r>
      <w:r w:rsidR="005072E7">
        <w:rPr>
          <w:sz w:val="28"/>
          <w:szCs w:val="28"/>
        </w:rPr>
        <w:t>м</w:t>
      </w:r>
      <w:r w:rsidRPr="002F44BA">
        <w:rPr>
          <w:sz w:val="28"/>
          <w:szCs w:val="28"/>
        </w:rPr>
        <w:t xml:space="preserve"> региональную дифференциацию РПК.</w:t>
      </w:r>
      <w:r w:rsidR="00745808" w:rsidRPr="002F44BA">
        <w:rPr>
          <w:sz w:val="28"/>
          <w:szCs w:val="28"/>
        </w:rPr>
        <w:t xml:space="preserve"> </w:t>
      </w:r>
      <w:r w:rsidRPr="002F44BA">
        <w:rPr>
          <w:sz w:val="28"/>
          <w:szCs w:val="28"/>
        </w:rPr>
        <w:t xml:space="preserve">В ходе анализа были выявлены </w:t>
      </w:r>
      <w:r w:rsidR="00745808" w:rsidRPr="002F44BA">
        <w:rPr>
          <w:sz w:val="28"/>
          <w:szCs w:val="28"/>
        </w:rPr>
        <w:t>регионы-</w:t>
      </w:r>
      <w:r w:rsidRPr="002F44BA">
        <w:rPr>
          <w:sz w:val="28"/>
          <w:szCs w:val="28"/>
        </w:rPr>
        <w:t xml:space="preserve">лидеры и </w:t>
      </w:r>
      <w:r w:rsidR="00745808" w:rsidRPr="002F44BA">
        <w:rPr>
          <w:sz w:val="28"/>
          <w:szCs w:val="28"/>
        </w:rPr>
        <w:t>регионы-</w:t>
      </w:r>
      <w:r w:rsidRPr="002F44BA">
        <w:rPr>
          <w:sz w:val="28"/>
          <w:szCs w:val="28"/>
        </w:rPr>
        <w:t>аутсайдеры по абсолютным, долевым и динамическим характеристикам в период 2010</w:t>
      </w:r>
      <w:r w:rsidR="005072E7">
        <w:rPr>
          <w:sz w:val="28"/>
          <w:szCs w:val="28"/>
        </w:rPr>
        <w:t xml:space="preserve"> – </w:t>
      </w:r>
      <w:r w:rsidRPr="002F44BA">
        <w:rPr>
          <w:sz w:val="28"/>
          <w:szCs w:val="28"/>
        </w:rPr>
        <w:t>2015</w:t>
      </w:r>
      <w:r w:rsidR="005072E7">
        <w:rPr>
          <w:sz w:val="28"/>
          <w:szCs w:val="28"/>
        </w:rPr>
        <w:t xml:space="preserve"> </w:t>
      </w:r>
      <w:r w:rsidRPr="002F44BA">
        <w:rPr>
          <w:sz w:val="28"/>
          <w:szCs w:val="28"/>
        </w:rPr>
        <w:t>гг.</w:t>
      </w:r>
    </w:p>
    <w:p w:rsidR="00745808" w:rsidRPr="002F44BA" w:rsidRDefault="00EB1B78" w:rsidP="00EB1B78">
      <w:pPr>
        <w:pStyle w:val="a4"/>
        <w:ind w:firstLine="708"/>
        <w:jc w:val="both"/>
        <w:rPr>
          <w:sz w:val="28"/>
          <w:szCs w:val="28"/>
        </w:rPr>
      </w:pPr>
      <w:r w:rsidRPr="002F44BA">
        <w:rPr>
          <w:sz w:val="28"/>
          <w:szCs w:val="28"/>
        </w:rPr>
        <w:t xml:space="preserve">Анализ </w:t>
      </w:r>
      <w:r w:rsidR="00745808" w:rsidRPr="002F44BA">
        <w:rPr>
          <w:sz w:val="28"/>
          <w:szCs w:val="28"/>
        </w:rPr>
        <w:t>тенденций</w:t>
      </w:r>
      <w:r w:rsidRPr="002F44BA">
        <w:rPr>
          <w:sz w:val="28"/>
          <w:szCs w:val="28"/>
        </w:rPr>
        <w:t xml:space="preserve"> территориального распределения совокупной кредитной задолженности </w:t>
      </w:r>
      <w:r w:rsidR="00745808" w:rsidRPr="002F44BA">
        <w:rPr>
          <w:sz w:val="28"/>
          <w:szCs w:val="28"/>
        </w:rPr>
        <w:t xml:space="preserve">населения </w:t>
      </w:r>
      <w:r w:rsidRPr="002F44BA">
        <w:rPr>
          <w:sz w:val="28"/>
          <w:szCs w:val="28"/>
        </w:rPr>
        <w:t xml:space="preserve">выявил следующую </w:t>
      </w:r>
      <w:r w:rsidR="00745808" w:rsidRPr="002F44BA">
        <w:rPr>
          <w:sz w:val="28"/>
          <w:szCs w:val="28"/>
        </w:rPr>
        <w:t xml:space="preserve">устойчивую </w:t>
      </w:r>
      <w:r w:rsidRPr="002F44BA">
        <w:rPr>
          <w:sz w:val="28"/>
          <w:szCs w:val="28"/>
        </w:rPr>
        <w:t>тенденцию: в период посткризисного восстановления динамика региональных сегментов потребительского кредитного рынка становится более гомогенной</w:t>
      </w:r>
      <w:r w:rsidR="005072E7">
        <w:rPr>
          <w:sz w:val="28"/>
          <w:szCs w:val="28"/>
        </w:rPr>
        <w:t>,</w:t>
      </w:r>
      <w:r w:rsidRPr="002F44BA">
        <w:rPr>
          <w:sz w:val="28"/>
          <w:szCs w:val="28"/>
        </w:rPr>
        <w:t xml:space="preserve"> по сравнению с кризисным этапом</w:t>
      </w:r>
      <w:r w:rsidR="005072E7">
        <w:rPr>
          <w:sz w:val="28"/>
          <w:szCs w:val="28"/>
        </w:rPr>
        <w:t>,</w:t>
      </w:r>
      <w:r w:rsidRPr="002F44BA">
        <w:rPr>
          <w:sz w:val="28"/>
          <w:szCs w:val="28"/>
        </w:rPr>
        <w:t xml:space="preserve"> и</w:t>
      </w:r>
      <w:r w:rsidR="00745808" w:rsidRPr="002F44BA">
        <w:rPr>
          <w:sz w:val="28"/>
          <w:szCs w:val="28"/>
        </w:rPr>
        <w:t>, напротив, когда</w:t>
      </w:r>
      <w:r w:rsidRPr="002F44BA">
        <w:rPr>
          <w:sz w:val="28"/>
          <w:szCs w:val="28"/>
        </w:rPr>
        <w:t xml:space="preserve"> </w:t>
      </w:r>
      <w:r w:rsidR="00745808" w:rsidRPr="002F44BA">
        <w:rPr>
          <w:sz w:val="28"/>
          <w:szCs w:val="28"/>
        </w:rPr>
        <w:t xml:space="preserve">происходит </w:t>
      </w:r>
      <w:r w:rsidRPr="002F44BA">
        <w:rPr>
          <w:sz w:val="28"/>
          <w:szCs w:val="28"/>
        </w:rPr>
        <w:t xml:space="preserve"> </w:t>
      </w:r>
      <w:r w:rsidR="00745808" w:rsidRPr="002F44BA">
        <w:rPr>
          <w:sz w:val="28"/>
          <w:szCs w:val="28"/>
        </w:rPr>
        <w:t xml:space="preserve">усиление кризисных явлений в экономике, </w:t>
      </w:r>
      <w:r w:rsidRPr="002F44BA">
        <w:rPr>
          <w:sz w:val="28"/>
          <w:szCs w:val="28"/>
        </w:rPr>
        <w:t>вновь начинается процесс усиления дифференциации</w:t>
      </w:r>
      <w:r w:rsidR="00745808" w:rsidRPr="002F44BA">
        <w:rPr>
          <w:sz w:val="28"/>
          <w:szCs w:val="28"/>
        </w:rPr>
        <w:t xml:space="preserve">. </w:t>
      </w:r>
    </w:p>
    <w:p w:rsidR="006E3290" w:rsidRPr="002F44BA" w:rsidRDefault="00EB1B78" w:rsidP="00EB1B78">
      <w:pPr>
        <w:pStyle w:val="a4"/>
        <w:ind w:firstLine="708"/>
        <w:jc w:val="both"/>
        <w:rPr>
          <w:sz w:val="28"/>
          <w:szCs w:val="28"/>
        </w:rPr>
      </w:pPr>
      <w:r w:rsidRPr="002F44BA">
        <w:rPr>
          <w:sz w:val="28"/>
          <w:szCs w:val="28"/>
        </w:rPr>
        <w:t>При этом</w:t>
      </w:r>
      <w:r w:rsidR="005072E7">
        <w:rPr>
          <w:sz w:val="28"/>
          <w:szCs w:val="28"/>
        </w:rPr>
        <w:t>,</w:t>
      </w:r>
      <w:r w:rsidRPr="002F44BA">
        <w:rPr>
          <w:sz w:val="28"/>
          <w:szCs w:val="28"/>
        </w:rPr>
        <w:t xml:space="preserve"> в годы относительно благоприятные в лидерах динамики, как правило, </w:t>
      </w:r>
      <w:r w:rsidR="005072E7">
        <w:rPr>
          <w:sz w:val="28"/>
          <w:szCs w:val="28"/>
        </w:rPr>
        <w:t xml:space="preserve">– </w:t>
      </w:r>
      <w:r w:rsidRPr="002F44BA">
        <w:rPr>
          <w:sz w:val="28"/>
          <w:szCs w:val="28"/>
        </w:rPr>
        <w:t>регионы с малыми объемными показателями, а в аутсайдерах – с крупными</w:t>
      </w:r>
      <w:r w:rsidR="006E3290" w:rsidRPr="002F44BA">
        <w:rPr>
          <w:sz w:val="28"/>
          <w:szCs w:val="28"/>
        </w:rPr>
        <w:t>. В неблагоприятные (</w:t>
      </w:r>
      <w:r w:rsidRPr="002F44BA">
        <w:rPr>
          <w:sz w:val="28"/>
          <w:szCs w:val="28"/>
        </w:rPr>
        <w:t>«кризисные»</w:t>
      </w:r>
      <w:r w:rsidR="006E3290" w:rsidRPr="002F44BA">
        <w:rPr>
          <w:sz w:val="28"/>
          <w:szCs w:val="28"/>
        </w:rPr>
        <w:t xml:space="preserve">) </w:t>
      </w:r>
      <w:r w:rsidRPr="002F44BA">
        <w:rPr>
          <w:sz w:val="28"/>
          <w:szCs w:val="28"/>
        </w:rPr>
        <w:t>годы положение меняется на противоположное</w:t>
      </w:r>
      <w:r w:rsidR="006E3290" w:rsidRPr="002F44BA">
        <w:rPr>
          <w:sz w:val="28"/>
          <w:szCs w:val="28"/>
        </w:rPr>
        <w:t xml:space="preserve"> (одновременно наблюдается </w:t>
      </w:r>
      <w:r w:rsidRPr="002F44BA">
        <w:rPr>
          <w:sz w:val="28"/>
          <w:szCs w:val="28"/>
        </w:rPr>
        <w:t>усилени</w:t>
      </w:r>
      <w:r w:rsidR="006E3290" w:rsidRPr="002F44BA">
        <w:rPr>
          <w:sz w:val="28"/>
          <w:szCs w:val="28"/>
        </w:rPr>
        <w:t>е</w:t>
      </w:r>
      <w:r w:rsidRPr="002F44BA">
        <w:rPr>
          <w:sz w:val="28"/>
          <w:szCs w:val="28"/>
        </w:rPr>
        <w:t xml:space="preserve"> дифференциации среднегрупповых  характеристик</w:t>
      </w:r>
      <w:r w:rsidR="006E3290" w:rsidRPr="002F44BA">
        <w:rPr>
          <w:sz w:val="28"/>
          <w:szCs w:val="28"/>
        </w:rPr>
        <w:t>).</w:t>
      </w:r>
    </w:p>
    <w:p w:rsidR="00EB1B78" w:rsidRPr="002F44BA" w:rsidRDefault="006E3290" w:rsidP="00EB1B78">
      <w:pPr>
        <w:pStyle w:val="a4"/>
        <w:ind w:firstLine="708"/>
        <w:jc w:val="both"/>
        <w:rPr>
          <w:sz w:val="28"/>
          <w:szCs w:val="28"/>
        </w:rPr>
      </w:pPr>
      <w:r w:rsidRPr="002F44BA">
        <w:rPr>
          <w:sz w:val="28"/>
          <w:szCs w:val="28"/>
        </w:rPr>
        <w:t>В исследуемый период (2010</w:t>
      </w:r>
      <w:r w:rsidR="005072E7">
        <w:rPr>
          <w:sz w:val="28"/>
          <w:szCs w:val="28"/>
        </w:rPr>
        <w:t xml:space="preserve"> – </w:t>
      </w:r>
      <w:r w:rsidRPr="002F44BA">
        <w:rPr>
          <w:sz w:val="28"/>
          <w:szCs w:val="28"/>
        </w:rPr>
        <w:t>2015 гг.) р</w:t>
      </w:r>
      <w:r w:rsidR="00EB1B78" w:rsidRPr="002F44BA">
        <w:rPr>
          <w:sz w:val="28"/>
          <w:szCs w:val="28"/>
        </w:rPr>
        <w:t xml:space="preserve">егиональная структура кредитной задолженности в рассматриваемые годы была довольно устойчивой </w:t>
      </w:r>
      <w:r w:rsidR="00EB1B78" w:rsidRPr="005072E7">
        <w:rPr>
          <w:sz w:val="28"/>
          <w:szCs w:val="28"/>
        </w:rPr>
        <w:t>(рис.</w:t>
      </w:r>
      <w:r w:rsidR="005072E7" w:rsidRPr="005072E7">
        <w:rPr>
          <w:sz w:val="28"/>
          <w:szCs w:val="28"/>
        </w:rPr>
        <w:t xml:space="preserve"> </w:t>
      </w:r>
      <w:r w:rsidR="00EB1B78" w:rsidRPr="005072E7">
        <w:rPr>
          <w:sz w:val="28"/>
          <w:szCs w:val="28"/>
        </w:rPr>
        <w:t>1),</w:t>
      </w:r>
      <w:r w:rsidR="00EB1B78" w:rsidRPr="002F44BA">
        <w:rPr>
          <w:sz w:val="28"/>
          <w:szCs w:val="28"/>
        </w:rPr>
        <w:t xml:space="preserve"> и четкой тенденции в изменении своего долевого показателя на протяжении всего</w:t>
      </w:r>
      <w:r w:rsidR="005072E7">
        <w:rPr>
          <w:sz w:val="28"/>
          <w:szCs w:val="28"/>
        </w:rPr>
        <w:t xml:space="preserve"> анализируемого периода не про</w:t>
      </w:r>
      <w:r w:rsidR="00EB1B78" w:rsidRPr="002F44BA">
        <w:rPr>
          <w:sz w:val="28"/>
          <w:szCs w:val="28"/>
        </w:rPr>
        <w:t>демонстрировал ни один федеральный округ, кроме Сибирского, где наблюдалось его практически постоянное снижение. Более или менее резкие изменения долевых показателей в отдельные годы наблюдались в ЮФО, СФО и особенно СКФО и ДФО (долевой показатель последнего в 2015</w:t>
      </w:r>
      <w:r w:rsidR="005072E7">
        <w:rPr>
          <w:sz w:val="28"/>
          <w:szCs w:val="28"/>
        </w:rPr>
        <w:t xml:space="preserve"> </w:t>
      </w:r>
      <w:r w:rsidR="00EB1B78" w:rsidRPr="002F44BA">
        <w:rPr>
          <w:sz w:val="28"/>
          <w:szCs w:val="28"/>
        </w:rPr>
        <w:t>г. по сравнению с 2010</w:t>
      </w:r>
      <w:r w:rsidR="005072E7">
        <w:rPr>
          <w:sz w:val="28"/>
          <w:szCs w:val="28"/>
        </w:rPr>
        <w:t xml:space="preserve"> </w:t>
      </w:r>
      <w:r w:rsidR="00EB1B78" w:rsidRPr="002F44BA">
        <w:rPr>
          <w:sz w:val="28"/>
          <w:szCs w:val="28"/>
        </w:rPr>
        <w:t>г. увеличился на 25,4%).</w:t>
      </w:r>
    </w:p>
    <w:p w:rsidR="00EB1B78" w:rsidRPr="002F44BA" w:rsidRDefault="00EB1B78" w:rsidP="00EB1B78">
      <w:pPr>
        <w:pStyle w:val="a4"/>
        <w:jc w:val="both"/>
        <w:rPr>
          <w:sz w:val="28"/>
          <w:szCs w:val="28"/>
        </w:rPr>
      </w:pPr>
    </w:p>
    <w:p w:rsidR="00EB1B78" w:rsidRPr="002F44BA" w:rsidRDefault="00EB1B78" w:rsidP="00EB1B78">
      <w:pPr>
        <w:pStyle w:val="a4"/>
        <w:jc w:val="center"/>
        <w:rPr>
          <w:sz w:val="28"/>
          <w:szCs w:val="28"/>
        </w:rPr>
      </w:pPr>
      <w:r w:rsidRPr="002F44BA">
        <w:rPr>
          <w:noProof/>
          <w:sz w:val="28"/>
          <w:szCs w:val="28"/>
          <w:lang w:eastAsia="ru-RU"/>
        </w:rPr>
        <w:lastRenderedPageBreak/>
        <w:drawing>
          <wp:inline distT="0" distB="0" distL="0" distR="0">
            <wp:extent cx="5307330" cy="3867150"/>
            <wp:effectExtent l="19050" t="0" r="2667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1B78" w:rsidRPr="002F44BA" w:rsidRDefault="00EB1B78" w:rsidP="00EB1B78">
      <w:pPr>
        <w:pStyle w:val="a4"/>
        <w:jc w:val="both"/>
        <w:rPr>
          <w:sz w:val="28"/>
          <w:szCs w:val="28"/>
        </w:rPr>
      </w:pPr>
    </w:p>
    <w:p w:rsidR="007B53AB" w:rsidRDefault="007B53AB" w:rsidP="007B53AB">
      <w:pPr>
        <w:pStyle w:val="a4"/>
        <w:ind w:firstLine="708"/>
        <w:jc w:val="center"/>
        <w:rPr>
          <w:sz w:val="28"/>
          <w:szCs w:val="28"/>
        </w:rPr>
      </w:pPr>
      <w:r w:rsidRPr="00327547">
        <w:rPr>
          <w:i/>
          <w:sz w:val="28"/>
          <w:szCs w:val="28"/>
        </w:rPr>
        <w:t xml:space="preserve">Рис. </w:t>
      </w:r>
      <w:r>
        <w:rPr>
          <w:i/>
          <w:sz w:val="28"/>
          <w:szCs w:val="28"/>
        </w:rPr>
        <w:t>1</w:t>
      </w:r>
      <w:r w:rsidRPr="00327547">
        <w:rPr>
          <w:i/>
          <w:sz w:val="28"/>
          <w:szCs w:val="28"/>
        </w:rPr>
        <w:t>.</w:t>
      </w:r>
      <w:r>
        <w:rPr>
          <w:i/>
          <w:sz w:val="28"/>
          <w:szCs w:val="28"/>
        </w:rPr>
        <w:t xml:space="preserve"> Территориальная структура задолженности по кредитам физических лиц в федеральных округах России на 1.01.2010 г. (внутреннее кольцо) и на 1.01.2016 г. (%) (без учёта Крымского ФО)</w:t>
      </w:r>
    </w:p>
    <w:p w:rsidR="007B53AB" w:rsidRDefault="007B53AB" w:rsidP="00B07F7A">
      <w:pPr>
        <w:pStyle w:val="a4"/>
        <w:ind w:firstLine="708"/>
        <w:jc w:val="both"/>
        <w:rPr>
          <w:sz w:val="28"/>
          <w:szCs w:val="28"/>
        </w:rPr>
      </w:pPr>
    </w:p>
    <w:p w:rsidR="00B07F7A" w:rsidRPr="002F44BA" w:rsidRDefault="00EB1B78" w:rsidP="00B07F7A">
      <w:pPr>
        <w:pStyle w:val="a4"/>
        <w:ind w:firstLine="708"/>
        <w:jc w:val="both"/>
        <w:rPr>
          <w:sz w:val="28"/>
          <w:szCs w:val="28"/>
        </w:rPr>
      </w:pPr>
      <w:r w:rsidRPr="002F44BA">
        <w:rPr>
          <w:sz w:val="28"/>
          <w:szCs w:val="28"/>
        </w:rPr>
        <w:t>Позиции большинства дальневосточных субрегионов в территориальной структуре показателя за рассматриваемые годы были относительно стабильными, по крайней мере, занимаемые ими места в нисходящих ранжированных рядах субъектов РФ (рейтингах/рэнкингах) изменялись не более</w:t>
      </w:r>
      <w:r w:rsidR="005072E7">
        <w:rPr>
          <w:sz w:val="28"/>
          <w:szCs w:val="28"/>
        </w:rPr>
        <w:t>,</w:t>
      </w:r>
      <w:r w:rsidRPr="002F44BA">
        <w:rPr>
          <w:sz w:val="28"/>
          <w:szCs w:val="28"/>
        </w:rPr>
        <w:t xml:space="preserve"> чем на шесть позиций. Якутия была единственным субрегионом, последовательно и значительн</w:t>
      </w:r>
      <w:r w:rsidR="00E71BDC">
        <w:rPr>
          <w:sz w:val="28"/>
          <w:szCs w:val="28"/>
        </w:rPr>
        <w:t>о поднимавшимся в рейтинге:</w:t>
      </w:r>
      <w:r w:rsidRPr="002F44BA">
        <w:rPr>
          <w:sz w:val="28"/>
          <w:szCs w:val="28"/>
        </w:rPr>
        <w:t xml:space="preserve"> с 46-ой позиции на 1.01.10</w:t>
      </w:r>
      <w:r w:rsidR="00E71BDC">
        <w:rPr>
          <w:sz w:val="28"/>
          <w:szCs w:val="28"/>
        </w:rPr>
        <w:t xml:space="preserve"> г.</w:t>
      </w:r>
      <w:r w:rsidRPr="002F44BA">
        <w:rPr>
          <w:sz w:val="28"/>
          <w:szCs w:val="28"/>
        </w:rPr>
        <w:t xml:space="preserve"> на 41-ю на 1.01.11</w:t>
      </w:r>
      <w:r w:rsidR="00E71BDC">
        <w:rPr>
          <w:sz w:val="28"/>
          <w:szCs w:val="28"/>
        </w:rPr>
        <w:t xml:space="preserve"> г.</w:t>
      </w:r>
      <w:r w:rsidRPr="002F44BA">
        <w:rPr>
          <w:sz w:val="28"/>
          <w:szCs w:val="28"/>
        </w:rPr>
        <w:t>, 36-ю на 1.01.12</w:t>
      </w:r>
      <w:r w:rsidR="00E71BDC">
        <w:rPr>
          <w:sz w:val="28"/>
          <w:szCs w:val="28"/>
        </w:rPr>
        <w:t xml:space="preserve"> г.</w:t>
      </w:r>
      <w:r w:rsidRPr="002F44BA">
        <w:rPr>
          <w:sz w:val="28"/>
          <w:szCs w:val="28"/>
        </w:rPr>
        <w:t xml:space="preserve"> и 29</w:t>
      </w:r>
      <w:r w:rsidR="00E71BDC">
        <w:rPr>
          <w:sz w:val="28"/>
          <w:szCs w:val="28"/>
        </w:rPr>
        <w:t xml:space="preserve"> – </w:t>
      </w:r>
      <w:r w:rsidRPr="002F44BA">
        <w:rPr>
          <w:sz w:val="28"/>
          <w:szCs w:val="28"/>
        </w:rPr>
        <w:t>30-ю в последующие годы. При этом,</w:t>
      </w:r>
      <w:r w:rsidR="00B07F7A" w:rsidRPr="002F44BA">
        <w:rPr>
          <w:sz w:val="28"/>
          <w:szCs w:val="28"/>
        </w:rPr>
        <w:t xml:space="preserve"> ДФО</w:t>
      </w:r>
      <w:r w:rsidRPr="002F44BA">
        <w:rPr>
          <w:sz w:val="28"/>
          <w:szCs w:val="28"/>
        </w:rPr>
        <w:t xml:space="preserve"> и большинство его субрегионов в последние годы оказал</w:t>
      </w:r>
      <w:r w:rsidR="00B07F7A" w:rsidRPr="002F44BA">
        <w:rPr>
          <w:sz w:val="28"/>
          <w:szCs w:val="28"/>
        </w:rPr>
        <w:t>и</w:t>
      </w:r>
      <w:r w:rsidRPr="002F44BA">
        <w:rPr>
          <w:sz w:val="28"/>
          <w:szCs w:val="28"/>
        </w:rPr>
        <w:t>с</w:t>
      </w:r>
      <w:r w:rsidR="00B07F7A" w:rsidRPr="002F44BA">
        <w:rPr>
          <w:sz w:val="28"/>
          <w:szCs w:val="28"/>
        </w:rPr>
        <w:t xml:space="preserve">ь </w:t>
      </w:r>
      <w:r w:rsidRPr="002F44BA">
        <w:rPr>
          <w:sz w:val="28"/>
          <w:szCs w:val="28"/>
        </w:rPr>
        <w:t>в группе аутсайдеров</w:t>
      </w:r>
      <w:r w:rsidR="00B07F7A" w:rsidRPr="002F44BA">
        <w:rPr>
          <w:sz w:val="28"/>
          <w:szCs w:val="28"/>
        </w:rPr>
        <w:t xml:space="preserve"> с одними из наиболее высоких темпов сокращения объемных показателей кредитной задолженности.</w:t>
      </w:r>
    </w:p>
    <w:p w:rsidR="00EB1B78" w:rsidRPr="002F44BA" w:rsidRDefault="00EB1B78" w:rsidP="00EB1B78">
      <w:pPr>
        <w:pStyle w:val="a4"/>
        <w:ind w:firstLine="708"/>
        <w:jc w:val="both"/>
        <w:rPr>
          <w:sz w:val="28"/>
          <w:szCs w:val="28"/>
        </w:rPr>
      </w:pPr>
      <w:r w:rsidRPr="002F44BA">
        <w:rPr>
          <w:sz w:val="28"/>
          <w:szCs w:val="28"/>
        </w:rPr>
        <w:t>Группы лидеров и аутсайдеров</w:t>
      </w:r>
      <w:r w:rsidR="00276EE7" w:rsidRPr="002F44BA">
        <w:rPr>
          <w:rStyle w:val="a7"/>
          <w:sz w:val="28"/>
          <w:szCs w:val="28"/>
        </w:rPr>
        <w:footnoteReference w:id="3"/>
      </w:r>
      <w:r w:rsidRPr="002F44BA">
        <w:rPr>
          <w:sz w:val="28"/>
          <w:szCs w:val="28"/>
        </w:rPr>
        <w:t xml:space="preserve"> очень устойчивы по составу входящих в них субрегионов, а позиции субрегионов соответственно их доле в общероссийском итоге различаются по годам минимально – как правило, не более</w:t>
      </w:r>
      <w:r w:rsidR="00E71BDC">
        <w:rPr>
          <w:sz w:val="28"/>
          <w:szCs w:val="28"/>
        </w:rPr>
        <w:t>,</w:t>
      </w:r>
      <w:r w:rsidRPr="002F44BA">
        <w:rPr>
          <w:sz w:val="28"/>
          <w:szCs w:val="28"/>
        </w:rPr>
        <w:t xml:space="preserve"> чем на одну</w:t>
      </w:r>
      <w:r w:rsidR="00E71BDC">
        <w:rPr>
          <w:sz w:val="28"/>
          <w:szCs w:val="28"/>
        </w:rPr>
        <w:t xml:space="preserve"> – </w:t>
      </w:r>
      <w:r w:rsidRPr="002F44BA">
        <w:rPr>
          <w:sz w:val="28"/>
          <w:szCs w:val="28"/>
        </w:rPr>
        <w:t>три позиции. Так, в группе лидеров чаще других субрегионов были: г.</w:t>
      </w:r>
      <w:r w:rsidR="00737247">
        <w:rPr>
          <w:sz w:val="28"/>
          <w:szCs w:val="28"/>
        </w:rPr>
        <w:t xml:space="preserve"> </w:t>
      </w:r>
      <w:r w:rsidRPr="002F44BA">
        <w:rPr>
          <w:sz w:val="28"/>
          <w:szCs w:val="28"/>
        </w:rPr>
        <w:t>Москва (1-е место), Московская область (2-е место), г.</w:t>
      </w:r>
      <w:r w:rsidR="00737247">
        <w:rPr>
          <w:sz w:val="28"/>
          <w:szCs w:val="28"/>
        </w:rPr>
        <w:t xml:space="preserve"> </w:t>
      </w:r>
      <w:r w:rsidRPr="002F44BA">
        <w:rPr>
          <w:sz w:val="28"/>
          <w:szCs w:val="28"/>
        </w:rPr>
        <w:t xml:space="preserve">Санкт-Петербург (3-е место), Свердловская область (4-е место), </w:t>
      </w:r>
      <w:r w:rsidRPr="002F44BA">
        <w:rPr>
          <w:sz w:val="28"/>
          <w:szCs w:val="28"/>
        </w:rPr>
        <w:lastRenderedPageBreak/>
        <w:t>Краснодарский край (чаще всего 5-е место), Красноярский край (занимавший с 5-го по 8-е места за разные годы), Челябинская область (снизила свое присутствие с 7-го по 10-е место и вышла из десятка лидеров на 1.01.16</w:t>
      </w:r>
      <w:r w:rsidR="00737247">
        <w:rPr>
          <w:sz w:val="28"/>
          <w:szCs w:val="28"/>
        </w:rPr>
        <w:t xml:space="preserve"> г.</w:t>
      </w:r>
      <w:r w:rsidRPr="002F44BA">
        <w:rPr>
          <w:sz w:val="28"/>
          <w:szCs w:val="28"/>
        </w:rPr>
        <w:t>, заняв 11-е место), Ростовская область (поднялась с 10-го места на 1.01.11</w:t>
      </w:r>
      <w:r w:rsidR="00737247">
        <w:rPr>
          <w:sz w:val="28"/>
          <w:szCs w:val="28"/>
        </w:rPr>
        <w:t xml:space="preserve"> г.</w:t>
      </w:r>
      <w:r w:rsidRPr="002F44BA">
        <w:rPr>
          <w:sz w:val="28"/>
          <w:szCs w:val="28"/>
        </w:rPr>
        <w:t xml:space="preserve"> на 7</w:t>
      </w:r>
      <w:r w:rsidR="00737247">
        <w:rPr>
          <w:sz w:val="28"/>
          <w:szCs w:val="28"/>
        </w:rPr>
        <w:t xml:space="preserve"> – </w:t>
      </w:r>
      <w:r w:rsidRPr="002F44BA">
        <w:rPr>
          <w:sz w:val="28"/>
          <w:szCs w:val="28"/>
        </w:rPr>
        <w:t>8-е места на 1.01.13</w:t>
      </w:r>
      <w:r w:rsidR="00737247">
        <w:rPr>
          <w:sz w:val="28"/>
          <w:szCs w:val="28"/>
        </w:rPr>
        <w:t xml:space="preserve"> – </w:t>
      </w:r>
      <w:r w:rsidRPr="002F44BA">
        <w:rPr>
          <w:sz w:val="28"/>
          <w:szCs w:val="28"/>
        </w:rPr>
        <w:t>1.01.16</w:t>
      </w:r>
      <w:r w:rsidR="00737247">
        <w:rPr>
          <w:sz w:val="28"/>
          <w:szCs w:val="28"/>
        </w:rPr>
        <w:t xml:space="preserve"> г.</w:t>
      </w:r>
      <w:r w:rsidRPr="002F44BA">
        <w:rPr>
          <w:sz w:val="28"/>
          <w:szCs w:val="28"/>
        </w:rPr>
        <w:t>), Республика Татарстан (9</w:t>
      </w:r>
      <w:r w:rsidR="00737247">
        <w:rPr>
          <w:sz w:val="28"/>
          <w:szCs w:val="28"/>
        </w:rPr>
        <w:t xml:space="preserve"> – </w:t>
      </w:r>
      <w:r w:rsidRPr="002F44BA">
        <w:rPr>
          <w:sz w:val="28"/>
          <w:szCs w:val="28"/>
        </w:rPr>
        <w:t>10-е места), ХМАО (8</w:t>
      </w:r>
      <w:r w:rsidR="00737247">
        <w:rPr>
          <w:sz w:val="28"/>
          <w:szCs w:val="28"/>
        </w:rPr>
        <w:t xml:space="preserve"> – </w:t>
      </w:r>
      <w:r w:rsidRPr="002F44BA">
        <w:rPr>
          <w:sz w:val="28"/>
          <w:szCs w:val="28"/>
        </w:rPr>
        <w:t>10-е места), а с начала 2014</w:t>
      </w:r>
      <w:r w:rsidR="00737247">
        <w:rPr>
          <w:sz w:val="28"/>
          <w:szCs w:val="28"/>
        </w:rPr>
        <w:t xml:space="preserve"> </w:t>
      </w:r>
      <w:r w:rsidRPr="002F44BA">
        <w:rPr>
          <w:sz w:val="28"/>
          <w:szCs w:val="28"/>
        </w:rPr>
        <w:t>г. в десятку лидеров «ворвалась» Республика Башкортостан, занимавшая 6-е места на 1.01.15</w:t>
      </w:r>
      <w:r w:rsidR="00737247">
        <w:rPr>
          <w:sz w:val="28"/>
          <w:szCs w:val="28"/>
        </w:rPr>
        <w:t xml:space="preserve"> г.</w:t>
      </w:r>
      <w:r w:rsidRPr="002F44BA">
        <w:rPr>
          <w:sz w:val="28"/>
          <w:szCs w:val="28"/>
        </w:rPr>
        <w:t xml:space="preserve"> и 1.01.16</w:t>
      </w:r>
      <w:r w:rsidR="00737247">
        <w:rPr>
          <w:sz w:val="28"/>
          <w:szCs w:val="28"/>
        </w:rPr>
        <w:t xml:space="preserve"> г</w:t>
      </w:r>
      <w:r w:rsidRPr="002F44BA">
        <w:rPr>
          <w:sz w:val="28"/>
          <w:szCs w:val="28"/>
        </w:rPr>
        <w:t>.</w:t>
      </w:r>
    </w:p>
    <w:p w:rsidR="00EB1B78" w:rsidRPr="002F44BA" w:rsidRDefault="00EB1B78" w:rsidP="00EB1B78">
      <w:pPr>
        <w:pStyle w:val="a4"/>
        <w:ind w:firstLine="708"/>
        <w:jc w:val="both"/>
        <w:rPr>
          <w:sz w:val="28"/>
          <w:szCs w:val="28"/>
        </w:rPr>
      </w:pPr>
      <w:r w:rsidRPr="002F44BA">
        <w:rPr>
          <w:sz w:val="28"/>
          <w:szCs w:val="28"/>
        </w:rPr>
        <w:t>В группе аутсайдеров чаще других находились</w:t>
      </w:r>
      <w:r w:rsidR="00B07F7A" w:rsidRPr="002F44BA">
        <w:rPr>
          <w:sz w:val="28"/>
          <w:szCs w:val="28"/>
        </w:rPr>
        <w:t xml:space="preserve"> такие регионы</w:t>
      </w:r>
      <w:r w:rsidR="00737247">
        <w:rPr>
          <w:sz w:val="28"/>
          <w:szCs w:val="28"/>
        </w:rPr>
        <w:t>,</w:t>
      </w:r>
      <w:r w:rsidR="00B07F7A" w:rsidRPr="002F44BA">
        <w:rPr>
          <w:sz w:val="28"/>
          <w:szCs w:val="28"/>
        </w:rPr>
        <w:t xml:space="preserve"> как</w:t>
      </w:r>
      <w:r w:rsidR="00737247">
        <w:rPr>
          <w:sz w:val="28"/>
          <w:szCs w:val="28"/>
        </w:rPr>
        <w:t>:</w:t>
      </w:r>
      <w:r w:rsidRPr="002F44BA">
        <w:rPr>
          <w:sz w:val="28"/>
          <w:szCs w:val="28"/>
        </w:rPr>
        <w:t xml:space="preserve"> Республик</w:t>
      </w:r>
      <w:r w:rsidR="00B07F7A" w:rsidRPr="002F44BA">
        <w:rPr>
          <w:sz w:val="28"/>
          <w:szCs w:val="28"/>
        </w:rPr>
        <w:t>а</w:t>
      </w:r>
      <w:r w:rsidRPr="002F44BA">
        <w:rPr>
          <w:sz w:val="28"/>
          <w:szCs w:val="28"/>
        </w:rPr>
        <w:t xml:space="preserve"> Алтай (75</w:t>
      </w:r>
      <w:r w:rsidR="00737247">
        <w:rPr>
          <w:sz w:val="28"/>
          <w:szCs w:val="28"/>
        </w:rPr>
        <w:t xml:space="preserve"> – </w:t>
      </w:r>
      <w:r w:rsidRPr="002F44BA">
        <w:rPr>
          <w:sz w:val="28"/>
          <w:szCs w:val="28"/>
        </w:rPr>
        <w:t>79-е места), Ингушетия (81</w:t>
      </w:r>
      <w:r w:rsidR="00737247">
        <w:rPr>
          <w:sz w:val="28"/>
          <w:szCs w:val="28"/>
        </w:rPr>
        <w:t xml:space="preserve"> – </w:t>
      </w:r>
      <w:r w:rsidRPr="002F44BA">
        <w:rPr>
          <w:sz w:val="28"/>
          <w:szCs w:val="28"/>
        </w:rPr>
        <w:t>83-е места), Калмыкия (74</w:t>
      </w:r>
      <w:r w:rsidR="00737247">
        <w:rPr>
          <w:sz w:val="28"/>
          <w:szCs w:val="28"/>
        </w:rPr>
        <w:t xml:space="preserve"> – </w:t>
      </w:r>
      <w:r w:rsidRPr="002F44BA">
        <w:rPr>
          <w:sz w:val="28"/>
          <w:szCs w:val="28"/>
        </w:rPr>
        <w:t>77-е места), Карачаево-Черкесс</w:t>
      </w:r>
      <w:r w:rsidR="00B07F7A" w:rsidRPr="002F44BA">
        <w:rPr>
          <w:sz w:val="28"/>
          <w:szCs w:val="28"/>
        </w:rPr>
        <w:t>ия</w:t>
      </w:r>
      <w:r w:rsidRPr="002F44BA">
        <w:rPr>
          <w:sz w:val="28"/>
          <w:szCs w:val="28"/>
        </w:rPr>
        <w:t xml:space="preserve"> (73</w:t>
      </w:r>
      <w:r w:rsidR="00737247">
        <w:rPr>
          <w:sz w:val="28"/>
          <w:szCs w:val="28"/>
        </w:rPr>
        <w:t xml:space="preserve"> – </w:t>
      </w:r>
      <w:r w:rsidRPr="002F44BA">
        <w:rPr>
          <w:sz w:val="28"/>
          <w:szCs w:val="28"/>
        </w:rPr>
        <w:t>76-е места), Тыва (74</w:t>
      </w:r>
      <w:r w:rsidR="00737247">
        <w:rPr>
          <w:sz w:val="28"/>
          <w:szCs w:val="28"/>
        </w:rPr>
        <w:t xml:space="preserve"> – </w:t>
      </w:r>
      <w:r w:rsidRPr="002F44BA">
        <w:rPr>
          <w:sz w:val="28"/>
          <w:szCs w:val="28"/>
        </w:rPr>
        <w:t>76-е места) и Чеченская (78</w:t>
      </w:r>
      <w:r w:rsidR="00737247">
        <w:rPr>
          <w:sz w:val="28"/>
          <w:szCs w:val="28"/>
        </w:rPr>
        <w:t xml:space="preserve"> – </w:t>
      </w:r>
      <w:r w:rsidRPr="002F44BA">
        <w:rPr>
          <w:sz w:val="28"/>
          <w:szCs w:val="28"/>
        </w:rPr>
        <w:t>82-е места), Магаданская область (77</w:t>
      </w:r>
      <w:r w:rsidR="00737247">
        <w:rPr>
          <w:sz w:val="28"/>
          <w:szCs w:val="28"/>
        </w:rPr>
        <w:t xml:space="preserve"> – </w:t>
      </w:r>
      <w:r w:rsidRPr="002F44BA">
        <w:rPr>
          <w:sz w:val="28"/>
          <w:szCs w:val="28"/>
        </w:rPr>
        <w:t>78-е места), ЕАО (79</w:t>
      </w:r>
      <w:r w:rsidR="00737247">
        <w:rPr>
          <w:sz w:val="28"/>
          <w:szCs w:val="28"/>
        </w:rPr>
        <w:t xml:space="preserve"> – </w:t>
      </w:r>
      <w:r w:rsidRPr="002F44BA">
        <w:rPr>
          <w:sz w:val="28"/>
          <w:szCs w:val="28"/>
        </w:rPr>
        <w:t>80-е места), Ненецкий АО (80</w:t>
      </w:r>
      <w:r w:rsidR="00737247">
        <w:rPr>
          <w:sz w:val="28"/>
          <w:szCs w:val="28"/>
        </w:rPr>
        <w:t xml:space="preserve"> – </w:t>
      </w:r>
      <w:r w:rsidRPr="002F44BA">
        <w:rPr>
          <w:sz w:val="28"/>
          <w:szCs w:val="28"/>
        </w:rPr>
        <w:t>81-е места) и Чукотский АО (82</w:t>
      </w:r>
      <w:r w:rsidR="00737247">
        <w:rPr>
          <w:sz w:val="28"/>
          <w:szCs w:val="28"/>
        </w:rPr>
        <w:t xml:space="preserve"> – </w:t>
      </w:r>
      <w:r w:rsidRPr="002F44BA">
        <w:rPr>
          <w:sz w:val="28"/>
          <w:szCs w:val="28"/>
        </w:rPr>
        <w:t>83-е места).</w:t>
      </w:r>
    </w:p>
    <w:p w:rsidR="00B07F7A" w:rsidRPr="002F44BA" w:rsidRDefault="00EB1B78" w:rsidP="00EB1B78">
      <w:pPr>
        <w:pStyle w:val="a4"/>
        <w:ind w:firstLine="708"/>
        <w:jc w:val="both"/>
        <w:rPr>
          <w:sz w:val="28"/>
          <w:szCs w:val="28"/>
        </w:rPr>
      </w:pPr>
      <w:r w:rsidRPr="002F44BA">
        <w:rPr>
          <w:sz w:val="28"/>
          <w:szCs w:val="28"/>
        </w:rPr>
        <w:t xml:space="preserve">В результате </w:t>
      </w:r>
      <w:r w:rsidR="00B07F7A" w:rsidRPr="002F44BA">
        <w:rPr>
          <w:sz w:val="28"/>
          <w:szCs w:val="28"/>
        </w:rPr>
        <w:t>рассмотрения динамических рядов установлено</w:t>
      </w:r>
      <w:r w:rsidRPr="002F44BA">
        <w:rPr>
          <w:sz w:val="28"/>
          <w:szCs w:val="28"/>
        </w:rPr>
        <w:t xml:space="preserve">, что, во-первых, региональная децильная дифференциация объемных и долевых показателей двух крайних групп регионов – десяти лидеров и десяти аутсайдеров – крайне высока и исчисляется десятками раз, во-вторых, что она коррелирует с изменением динамических показателей групп регионов-лидеров и аутсайдеров, выказывая/выявляя (следующую) закономерность: в благоприятных условиях (по мере выхода банковской системы и всей экономики страны из кризиса) дифференциация снижается, а на входе в новый кризис – усиливается. Так, соотношение долевых показателей лидеров и аутсайдеров (что аналогично соотношению абсолютных объемных показателей) </w:t>
      </w:r>
      <w:r w:rsidR="00DE600A" w:rsidRPr="002F44BA">
        <w:rPr>
          <w:sz w:val="28"/>
          <w:szCs w:val="28"/>
        </w:rPr>
        <w:t>составляло</w:t>
      </w:r>
      <w:r w:rsidRPr="002F44BA">
        <w:rPr>
          <w:sz w:val="28"/>
          <w:szCs w:val="28"/>
        </w:rPr>
        <w:t xml:space="preserve"> 46,7</w:t>
      </w:r>
      <w:r w:rsidR="00737247">
        <w:rPr>
          <w:sz w:val="28"/>
          <w:szCs w:val="28"/>
        </w:rPr>
        <w:t xml:space="preserve"> </w:t>
      </w:r>
      <w:r w:rsidRPr="002F44BA">
        <w:rPr>
          <w:sz w:val="28"/>
          <w:szCs w:val="28"/>
        </w:rPr>
        <w:t>раза на 1.01.10</w:t>
      </w:r>
      <w:r w:rsidR="00737247">
        <w:rPr>
          <w:sz w:val="28"/>
          <w:szCs w:val="28"/>
        </w:rPr>
        <w:t xml:space="preserve"> г.</w:t>
      </w:r>
      <w:r w:rsidRPr="002F44BA">
        <w:rPr>
          <w:sz w:val="28"/>
          <w:szCs w:val="28"/>
        </w:rPr>
        <w:t xml:space="preserve"> </w:t>
      </w:r>
      <w:r w:rsidR="00DE600A" w:rsidRPr="002F44BA">
        <w:rPr>
          <w:sz w:val="28"/>
          <w:szCs w:val="28"/>
        </w:rPr>
        <w:t>и 34,6</w:t>
      </w:r>
      <w:r w:rsidR="00737247">
        <w:rPr>
          <w:sz w:val="28"/>
          <w:szCs w:val="28"/>
        </w:rPr>
        <w:t xml:space="preserve"> </w:t>
      </w:r>
      <w:r w:rsidR="00DE600A" w:rsidRPr="002F44BA">
        <w:rPr>
          <w:sz w:val="28"/>
          <w:szCs w:val="28"/>
        </w:rPr>
        <w:t>раза на 1.01.2015</w:t>
      </w:r>
      <w:r w:rsidR="00737247">
        <w:rPr>
          <w:sz w:val="28"/>
          <w:szCs w:val="28"/>
        </w:rPr>
        <w:t xml:space="preserve"> г</w:t>
      </w:r>
      <w:r w:rsidR="00DE600A" w:rsidRPr="002F44BA">
        <w:rPr>
          <w:sz w:val="28"/>
          <w:szCs w:val="28"/>
        </w:rPr>
        <w:t>.</w:t>
      </w:r>
    </w:p>
    <w:p w:rsidR="00EB1B78" w:rsidRPr="002F44BA" w:rsidRDefault="00EB1B78" w:rsidP="00EB1B78">
      <w:pPr>
        <w:pStyle w:val="a4"/>
        <w:ind w:firstLine="708"/>
        <w:jc w:val="both"/>
        <w:rPr>
          <w:sz w:val="28"/>
          <w:szCs w:val="28"/>
        </w:rPr>
      </w:pPr>
      <w:r w:rsidRPr="002F44BA">
        <w:rPr>
          <w:sz w:val="28"/>
          <w:szCs w:val="28"/>
        </w:rPr>
        <w:t>Динамика среднедушевой кредитной задолженности в посткризисный период (2010</w:t>
      </w:r>
      <w:r w:rsidR="00737247">
        <w:rPr>
          <w:sz w:val="28"/>
          <w:szCs w:val="28"/>
        </w:rPr>
        <w:t xml:space="preserve"> – </w:t>
      </w:r>
      <w:r w:rsidRPr="002F44BA">
        <w:rPr>
          <w:sz w:val="28"/>
          <w:szCs w:val="28"/>
        </w:rPr>
        <w:t>2014</w:t>
      </w:r>
      <w:r w:rsidR="00737247">
        <w:rPr>
          <w:sz w:val="28"/>
          <w:szCs w:val="28"/>
        </w:rPr>
        <w:t xml:space="preserve"> </w:t>
      </w:r>
      <w:r w:rsidRPr="002F44BA">
        <w:rPr>
          <w:sz w:val="28"/>
          <w:szCs w:val="28"/>
        </w:rPr>
        <w:t>гг.) была достаточно интенсивной, хотя и с тенденцией к замедлению, переходящей в понижательный тренд. Причем</w:t>
      </w:r>
      <w:r w:rsidR="00737247">
        <w:rPr>
          <w:sz w:val="28"/>
          <w:szCs w:val="28"/>
        </w:rPr>
        <w:t>,</w:t>
      </w:r>
      <w:r w:rsidRPr="002F44BA">
        <w:rPr>
          <w:sz w:val="28"/>
          <w:szCs w:val="28"/>
        </w:rPr>
        <w:t xml:space="preserve"> показатели росли неравномерно по федеральным округам и субъектам РФ, и сами средние уровни показателей по ФО (</w:t>
      </w:r>
      <w:r w:rsidRPr="00737247">
        <w:rPr>
          <w:sz w:val="28"/>
          <w:szCs w:val="28"/>
        </w:rPr>
        <w:t>рис.</w:t>
      </w:r>
      <w:r w:rsidR="00737247">
        <w:rPr>
          <w:sz w:val="28"/>
          <w:szCs w:val="28"/>
        </w:rPr>
        <w:t xml:space="preserve"> </w:t>
      </w:r>
      <w:r w:rsidRPr="00737247">
        <w:rPr>
          <w:sz w:val="28"/>
          <w:szCs w:val="28"/>
        </w:rPr>
        <w:t>2</w:t>
      </w:r>
      <w:r w:rsidR="00737247">
        <w:rPr>
          <w:sz w:val="28"/>
          <w:szCs w:val="28"/>
        </w:rPr>
        <w:t>)</w:t>
      </w:r>
      <w:r w:rsidRPr="002F44BA">
        <w:rPr>
          <w:sz w:val="28"/>
          <w:szCs w:val="28"/>
        </w:rPr>
        <w:t>, особенно, по субъектам РФ были подвержены высокой дифференциации</w:t>
      </w:r>
      <w:r w:rsidR="00737247" w:rsidRPr="002F44BA">
        <w:rPr>
          <w:sz w:val="28"/>
          <w:szCs w:val="28"/>
        </w:rPr>
        <w:t xml:space="preserve"> </w:t>
      </w:r>
      <w:r w:rsidR="00737247">
        <w:rPr>
          <w:sz w:val="28"/>
          <w:szCs w:val="28"/>
        </w:rPr>
        <w:t xml:space="preserve">(за весь анализируемый период </w:t>
      </w:r>
      <w:r w:rsidRPr="002F44BA">
        <w:rPr>
          <w:sz w:val="28"/>
          <w:szCs w:val="28"/>
        </w:rPr>
        <w:t>2010</w:t>
      </w:r>
      <w:r w:rsidR="00737247">
        <w:rPr>
          <w:sz w:val="28"/>
          <w:szCs w:val="28"/>
        </w:rPr>
        <w:t xml:space="preserve"> – </w:t>
      </w:r>
      <w:r w:rsidRPr="002F44BA">
        <w:rPr>
          <w:sz w:val="28"/>
          <w:szCs w:val="28"/>
        </w:rPr>
        <w:t>2015</w:t>
      </w:r>
      <w:r w:rsidR="00737247">
        <w:rPr>
          <w:sz w:val="28"/>
          <w:szCs w:val="28"/>
        </w:rPr>
        <w:t xml:space="preserve"> </w:t>
      </w:r>
      <w:r w:rsidRPr="002F44BA">
        <w:rPr>
          <w:sz w:val="28"/>
          <w:szCs w:val="28"/>
        </w:rPr>
        <w:t>гг.), хотя и имевшей тенденцию к сокращению. Так, темпы роста кредитной задолженности варьировали от 2,9</w:t>
      </w:r>
      <w:r w:rsidR="00737247">
        <w:rPr>
          <w:sz w:val="28"/>
          <w:szCs w:val="28"/>
        </w:rPr>
        <w:t xml:space="preserve"> – </w:t>
      </w:r>
      <w:r w:rsidRPr="002F44BA">
        <w:rPr>
          <w:sz w:val="28"/>
          <w:szCs w:val="28"/>
        </w:rPr>
        <w:t>3,0</w:t>
      </w:r>
      <w:r w:rsidR="00737247">
        <w:rPr>
          <w:sz w:val="28"/>
          <w:szCs w:val="28"/>
        </w:rPr>
        <w:t xml:space="preserve"> </w:t>
      </w:r>
      <w:r w:rsidRPr="002F44BA">
        <w:rPr>
          <w:sz w:val="28"/>
          <w:szCs w:val="28"/>
        </w:rPr>
        <w:t>раза в Южном и Дальневосточном ФО и 2,7</w:t>
      </w:r>
      <w:r w:rsidR="00737247">
        <w:rPr>
          <w:sz w:val="28"/>
          <w:szCs w:val="28"/>
        </w:rPr>
        <w:t xml:space="preserve"> – </w:t>
      </w:r>
      <w:r w:rsidRPr="002F44BA">
        <w:rPr>
          <w:sz w:val="28"/>
          <w:szCs w:val="28"/>
        </w:rPr>
        <w:t>2,8</w:t>
      </w:r>
      <w:r w:rsidR="00737247">
        <w:rPr>
          <w:sz w:val="28"/>
          <w:szCs w:val="28"/>
        </w:rPr>
        <w:t xml:space="preserve"> </w:t>
      </w:r>
      <w:r w:rsidRPr="002F44BA">
        <w:rPr>
          <w:sz w:val="28"/>
          <w:szCs w:val="28"/>
        </w:rPr>
        <w:t>раза в Приволжском и Северо-Кавказском ФО до 2,4</w:t>
      </w:r>
      <w:r w:rsidR="00737247">
        <w:rPr>
          <w:sz w:val="28"/>
          <w:szCs w:val="28"/>
        </w:rPr>
        <w:t xml:space="preserve"> – </w:t>
      </w:r>
      <w:r w:rsidRPr="002F44BA">
        <w:rPr>
          <w:sz w:val="28"/>
          <w:szCs w:val="28"/>
        </w:rPr>
        <w:t>2,6</w:t>
      </w:r>
      <w:r w:rsidR="00737247">
        <w:rPr>
          <w:sz w:val="28"/>
          <w:szCs w:val="28"/>
        </w:rPr>
        <w:t xml:space="preserve"> </w:t>
      </w:r>
      <w:r w:rsidRPr="002F44BA">
        <w:rPr>
          <w:sz w:val="28"/>
          <w:szCs w:val="28"/>
        </w:rPr>
        <w:t>раза в остальных ФО. При этом</w:t>
      </w:r>
      <w:r w:rsidR="00737247">
        <w:rPr>
          <w:sz w:val="28"/>
          <w:szCs w:val="28"/>
        </w:rPr>
        <w:t>,</w:t>
      </w:r>
      <w:r w:rsidRPr="002F44BA">
        <w:rPr>
          <w:sz w:val="28"/>
          <w:szCs w:val="28"/>
        </w:rPr>
        <w:t xml:space="preserve"> в 2015</w:t>
      </w:r>
      <w:r w:rsidR="00737247">
        <w:rPr>
          <w:sz w:val="28"/>
          <w:szCs w:val="28"/>
        </w:rPr>
        <w:t xml:space="preserve"> </w:t>
      </w:r>
      <w:r w:rsidRPr="002F44BA">
        <w:rPr>
          <w:sz w:val="28"/>
          <w:szCs w:val="28"/>
        </w:rPr>
        <w:t>г.</w:t>
      </w:r>
      <w:r w:rsidR="00737247">
        <w:rPr>
          <w:sz w:val="28"/>
          <w:szCs w:val="28"/>
        </w:rPr>
        <w:t>,</w:t>
      </w:r>
      <w:r w:rsidRPr="002F44BA">
        <w:rPr>
          <w:sz w:val="28"/>
          <w:szCs w:val="28"/>
        </w:rPr>
        <w:t xml:space="preserve"> по сравнению с предыдущим годом</w:t>
      </w:r>
      <w:r w:rsidR="00737247">
        <w:rPr>
          <w:sz w:val="28"/>
          <w:szCs w:val="28"/>
        </w:rPr>
        <w:t>,</w:t>
      </w:r>
      <w:r w:rsidRPr="002F44BA">
        <w:rPr>
          <w:sz w:val="28"/>
          <w:szCs w:val="28"/>
        </w:rPr>
        <w:t xml:space="preserve"> при среднем темпе снижения показателя по РФ в 6,1% аналогичные динамические показатели по федераль</w:t>
      </w:r>
      <w:r w:rsidR="00737247">
        <w:rPr>
          <w:sz w:val="28"/>
          <w:szCs w:val="28"/>
        </w:rPr>
        <w:t>ным округам варьировали от -3,3% в Северо-Западном ФО и -5,1% в Уральском ФО до -7,8% в Сибирском ФО и -8,5</w:t>
      </w:r>
      <w:r w:rsidRPr="002F44BA">
        <w:rPr>
          <w:sz w:val="28"/>
          <w:szCs w:val="28"/>
        </w:rPr>
        <w:t>% в Северо-Кавказском ФО. Разрыв крайних значений, таким образом, составил 2,6</w:t>
      </w:r>
      <w:r w:rsidR="00737247">
        <w:rPr>
          <w:sz w:val="28"/>
          <w:szCs w:val="28"/>
        </w:rPr>
        <w:t xml:space="preserve"> </w:t>
      </w:r>
      <w:r w:rsidRPr="002F44BA">
        <w:rPr>
          <w:sz w:val="28"/>
          <w:szCs w:val="28"/>
        </w:rPr>
        <w:t>раза. Темп снижения среднедушевого показателя кредитной задолженности по ДФО примерно соответствовал среднероссийскому.</w:t>
      </w:r>
    </w:p>
    <w:p w:rsidR="00EB1B78" w:rsidRPr="002F44BA" w:rsidRDefault="00EB1B78" w:rsidP="00EB1B78">
      <w:pPr>
        <w:pStyle w:val="a4"/>
        <w:ind w:firstLine="708"/>
        <w:jc w:val="both"/>
        <w:rPr>
          <w:sz w:val="28"/>
          <w:szCs w:val="28"/>
        </w:rPr>
      </w:pPr>
      <w:r w:rsidRPr="002F44BA">
        <w:rPr>
          <w:sz w:val="28"/>
          <w:szCs w:val="28"/>
        </w:rPr>
        <w:lastRenderedPageBreak/>
        <w:t>Дифференциация средних показателей по округам хотя и была высокой, но имела тенденцию к сокращению. Так, разрыв крайних значений снизился с 4</w:t>
      </w:r>
      <w:r w:rsidR="00327547">
        <w:rPr>
          <w:sz w:val="28"/>
          <w:szCs w:val="28"/>
        </w:rPr>
        <w:t xml:space="preserve"> </w:t>
      </w:r>
      <w:r w:rsidRPr="002F44BA">
        <w:rPr>
          <w:sz w:val="28"/>
          <w:szCs w:val="28"/>
        </w:rPr>
        <w:t>раз на 1.01.10</w:t>
      </w:r>
      <w:r w:rsidR="00737247">
        <w:rPr>
          <w:sz w:val="28"/>
          <w:szCs w:val="28"/>
        </w:rPr>
        <w:t xml:space="preserve"> г.</w:t>
      </w:r>
      <w:r w:rsidRPr="002F44BA">
        <w:rPr>
          <w:sz w:val="28"/>
          <w:szCs w:val="28"/>
        </w:rPr>
        <w:t xml:space="preserve"> до 3,7</w:t>
      </w:r>
      <w:r w:rsidR="00737247">
        <w:rPr>
          <w:sz w:val="28"/>
          <w:szCs w:val="28"/>
        </w:rPr>
        <w:t xml:space="preserve"> </w:t>
      </w:r>
      <w:r w:rsidRPr="002F44BA">
        <w:rPr>
          <w:sz w:val="28"/>
          <w:szCs w:val="28"/>
        </w:rPr>
        <w:t>раза годом позже, 3,5</w:t>
      </w:r>
      <w:r w:rsidR="00327547">
        <w:rPr>
          <w:sz w:val="28"/>
          <w:szCs w:val="28"/>
        </w:rPr>
        <w:t xml:space="preserve"> </w:t>
      </w:r>
      <w:r w:rsidRPr="002F44BA">
        <w:rPr>
          <w:sz w:val="28"/>
          <w:szCs w:val="28"/>
        </w:rPr>
        <w:t>раз на 1.01.12</w:t>
      </w:r>
      <w:r w:rsidR="00327547">
        <w:rPr>
          <w:sz w:val="28"/>
          <w:szCs w:val="28"/>
        </w:rPr>
        <w:t xml:space="preserve"> г.</w:t>
      </w:r>
      <w:r w:rsidRPr="002F44BA">
        <w:rPr>
          <w:sz w:val="28"/>
          <w:szCs w:val="28"/>
        </w:rPr>
        <w:t>, а затем стабилизировался на уровне 3,3</w:t>
      </w:r>
      <w:r w:rsidR="00737247">
        <w:rPr>
          <w:sz w:val="28"/>
          <w:szCs w:val="28"/>
        </w:rPr>
        <w:t xml:space="preserve"> </w:t>
      </w:r>
      <w:r w:rsidRPr="002F44BA">
        <w:rPr>
          <w:sz w:val="28"/>
          <w:szCs w:val="28"/>
        </w:rPr>
        <w:t>раза вплоть до начала 2016</w:t>
      </w:r>
      <w:r w:rsidR="00327547">
        <w:rPr>
          <w:sz w:val="28"/>
          <w:szCs w:val="28"/>
        </w:rPr>
        <w:t xml:space="preserve"> </w:t>
      </w:r>
      <w:r w:rsidRPr="002F44BA">
        <w:rPr>
          <w:sz w:val="28"/>
          <w:szCs w:val="28"/>
        </w:rPr>
        <w:t>г., когда он вновь вырос до 3,4</w:t>
      </w:r>
      <w:r w:rsidR="00737247">
        <w:rPr>
          <w:sz w:val="28"/>
          <w:szCs w:val="28"/>
        </w:rPr>
        <w:t xml:space="preserve"> </w:t>
      </w:r>
      <w:r w:rsidRPr="002F44BA">
        <w:rPr>
          <w:sz w:val="28"/>
          <w:szCs w:val="28"/>
        </w:rPr>
        <w:t>раза</w:t>
      </w:r>
      <w:r w:rsidR="00EC2367" w:rsidRPr="002F44BA">
        <w:rPr>
          <w:sz w:val="28"/>
          <w:szCs w:val="28"/>
        </w:rPr>
        <w:t xml:space="preserve"> (максимальное значение среднедушевой кредитной задолженности в 100,4</w:t>
      </w:r>
      <w:r w:rsidR="00737247">
        <w:rPr>
          <w:sz w:val="28"/>
          <w:szCs w:val="28"/>
        </w:rPr>
        <w:t xml:space="preserve"> </w:t>
      </w:r>
      <w:r w:rsidR="00EC2367" w:rsidRPr="002F44BA">
        <w:rPr>
          <w:sz w:val="28"/>
          <w:szCs w:val="28"/>
        </w:rPr>
        <w:t>тыс.</w:t>
      </w:r>
      <w:r w:rsidR="00737247">
        <w:rPr>
          <w:sz w:val="28"/>
          <w:szCs w:val="28"/>
        </w:rPr>
        <w:t xml:space="preserve"> </w:t>
      </w:r>
      <w:r w:rsidR="00EC2367" w:rsidRPr="002F44BA">
        <w:rPr>
          <w:sz w:val="28"/>
          <w:szCs w:val="28"/>
        </w:rPr>
        <w:t>руб.</w:t>
      </w:r>
      <w:r w:rsidR="00327547">
        <w:rPr>
          <w:sz w:val="28"/>
          <w:szCs w:val="28"/>
        </w:rPr>
        <w:t xml:space="preserve"> (</w:t>
      </w:r>
      <w:r w:rsidR="00EC2367" w:rsidRPr="002F44BA">
        <w:rPr>
          <w:sz w:val="28"/>
          <w:szCs w:val="28"/>
        </w:rPr>
        <w:t>136% среднероссийского уровня</w:t>
      </w:r>
      <w:r w:rsidR="00327547">
        <w:rPr>
          <w:sz w:val="28"/>
          <w:szCs w:val="28"/>
        </w:rPr>
        <w:t>)</w:t>
      </w:r>
      <w:r w:rsidR="00EC2367" w:rsidRPr="002F44BA">
        <w:rPr>
          <w:sz w:val="28"/>
          <w:szCs w:val="28"/>
        </w:rPr>
        <w:t xml:space="preserve"> наблюдалось в Уральском ФО, минимальное – в 29,4</w:t>
      </w:r>
      <w:r w:rsidR="00737247">
        <w:rPr>
          <w:sz w:val="28"/>
          <w:szCs w:val="28"/>
        </w:rPr>
        <w:t xml:space="preserve"> </w:t>
      </w:r>
      <w:r w:rsidR="00EC2367" w:rsidRPr="002F44BA">
        <w:rPr>
          <w:sz w:val="28"/>
          <w:szCs w:val="28"/>
        </w:rPr>
        <w:t>тыс.</w:t>
      </w:r>
      <w:r w:rsidR="00737247">
        <w:rPr>
          <w:sz w:val="28"/>
          <w:szCs w:val="28"/>
        </w:rPr>
        <w:t xml:space="preserve"> </w:t>
      </w:r>
      <w:r w:rsidR="00EC2367" w:rsidRPr="002F44BA">
        <w:rPr>
          <w:sz w:val="28"/>
          <w:szCs w:val="28"/>
        </w:rPr>
        <w:t>руб.</w:t>
      </w:r>
      <w:r w:rsidR="00327547">
        <w:rPr>
          <w:sz w:val="28"/>
          <w:szCs w:val="28"/>
        </w:rPr>
        <w:t xml:space="preserve"> (</w:t>
      </w:r>
      <w:r w:rsidR="00EC2367" w:rsidRPr="002F44BA">
        <w:rPr>
          <w:sz w:val="28"/>
          <w:szCs w:val="28"/>
        </w:rPr>
        <w:t>40</w:t>
      </w:r>
      <w:r w:rsidR="00327547">
        <w:rPr>
          <w:sz w:val="28"/>
          <w:szCs w:val="28"/>
        </w:rPr>
        <w:t>% среднероссийского)</w:t>
      </w:r>
      <w:r w:rsidR="00EC2367" w:rsidRPr="002F44BA">
        <w:rPr>
          <w:sz w:val="28"/>
          <w:szCs w:val="28"/>
        </w:rPr>
        <w:t xml:space="preserve"> в Северо-Кавказском ФО</w:t>
      </w:r>
      <w:r w:rsidR="00327547">
        <w:rPr>
          <w:sz w:val="28"/>
          <w:szCs w:val="28"/>
        </w:rPr>
        <w:t>)</w:t>
      </w:r>
      <w:r w:rsidRPr="002F44BA">
        <w:rPr>
          <w:sz w:val="28"/>
          <w:szCs w:val="28"/>
        </w:rPr>
        <w:t>. Дифференциация показателя по субъектам РФ, естественно, была гораздо выше, но также с тенденцией к сокращению: размах вариации, или отношение крайних значений, снизился/сократился с 48</w:t>
      </w:r>
      <w:r w:rsidR="00737247">
        <w:rPr>
          <w:sz w:val="28"/>
          <w:szCs w:val="28"/>
        </w:rPr>
        <w:t xml:space="preserve"> </w:t>
      </w:r>
      <w:r w:rsidRPr="002F44BA">
        <w:rPr>
          <w:sz w:val="28"/>
          <w:szCs w:val="28"/>
        </w:rPr>
        <w:t>раз на начало 2010</w:t>
      </w:r>
      <w:r w:rsidR="00737247">
        <w:rPr>
          <w:sz w:val="28"/>
          <w:szCs w:val="28"/>
        </w:rPr>
        <w:t xml:space="preserve"> </w:t>
      </w:r>
      <w:r w:rsidRPr="002F44BA">
        <w:rPr>
          <w:sz w:val="28"/>
          <w:szCs w:val="28"/>
        </w:rPr>
        <w:t>г. до 16</w:t>
      </w:r>
      <w:r w:rsidR="00737247">
        <w:rPr>
          <w:sz w:val="28"/>
          <w:szCs w:val="28"/>
        </w:rPr>
        <w:t xml:space="preserve"> </w:t>
      </w:r>
      <w:r w:rsidRPr="002F44BA">
        <w:rPr>
          <w:sz w:val="28"/>
          <w:szCs w:val="28"/>
        </w:rPr>
        <w:t>раз на начало 2013</w:t>
      </w:r>
      <w:r w:rsidR="00737247">
        <w:rPr>
          <w:sz w:val="28"/>
          <w:szCs w:val="28"/>
        </w:rPr>
        <w:t xml:space="preserve"> </w:t>
      </w:r>
      <w:r w:rsidRPr="002F44BA">
        <w:rPr>
          <w:sz w:val="28"/>
          <w:szCs w:val="28"/>
        </w:rPr>
        <w:t>г. и 21 раза на начало 2016</w:t>
      </w:r>
      <w:r w:rsidR="00737247">
        <w:rPr>
          <w:sz w:val="28"/>
          <w:szCs w:val="28"/>
        </w:rPr>
        <w:t xml:space="preserve"> </w:t>
      </w:r>
      <w:r w:rsidRPr="002F44BA">
        <w:rPr>
          <w:sz w:val="28"/>
          <w:szCs w:val="28"/>
        </w:rPr>
        <w:t>г.</w:t>
      </w:r>
    </w:p>
    <w:p w:rsidR="00EB1B78" w:rsidRPr="002F44BA" w:rsidRDefault="00EB1B78" w:rsidP="00EB1B78">
      <w:pPr>
        <w:pStyle w:val="a4"/>
        <w:jc w:val="both"/>
        <w:rPr>
          <w:sz w:val="28"/>
          <w:szCs w:val="28"/>
        </w:rPr>
      </w:pPr>
    </w:p>
    <w:p w:rsidR="00EB1B78" w:rsidRPr="002F44BA" w:rsidRDefault="00EB1B78" w:rsidP="00EB1B78">
      <w:pPr>
        <w:pStyle w:val="a4"/>
        <w:jc w:val="center"/>
        <w:rPr>
          <w:sz w:val="28"/>
          <w:szCs w:val="28"/>
        </w:rPr>
      </w:pPr>
      <w:r w:rsidRPr="002F44BA">
        <w:rPr>
          <w:noProof/>
          <w:sz w:val="28"/>
          <w:szCs w:val="28"/>
          <w:lang w:eastAsia="ru-RU"/>
        </w:rPr>
        <w:drawing>
          <wp:inline distT="0" distB="0" distL="0" distR="0">
            <wp:extent cx="6119495" cy="3566499"/>
            <wp:effectExtent l="19050" t="0" r="14605" b="0"/>
            <wp:docPr id="1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27547" w:rsidRDefault="00EB1B78" w:rsidP="00EB1B78">
      <w:pPr>
        <w:pStyle w:val="a4"/>
        <w:jc w:val="both"/>
        <w:rPr>
          <w:sz w:val="28"/>
          <w:szCs w:val="28"/>
        </w:rPr>
      </w:pPr>
      <w:r w:rsidRPr="002F44BA">
        <w:rPr>
          <w:sz w:val="28"/>
          <w:szCs w:val="28"/>
        </w:rPr>
        <w:tab/>
      </w:r>
    </w:p>
    <w:p w:rsidR="00327547" w:rsidRDefault="00327547" w:rsidP="00EB1B78">
      <w:pPr>
        <w:pStyle w:val="a4"/>
        <w:jc w:val="both"/>
        <w:rPr>
          <w:sz w:val="28"/>
          <w:szCs w:val="28"/>
        </w:rPr>
      </w:pPr>
    </w:p>
    <w:p w:rsidR="00327547" w:rsidRPr="00327547" w:rsidRDefault="00327547" w:rsidP="00327547">
      <w:pPr>
        <w:pStyle w:val="a4"/>
        <w:jc w:val="center"/>
        <w:rPr>
          <w:i/>
          <w:sz w:val="28"/>
          <w:szCs w:val="28"/>
        </w:rPr>
      </w:pPr>
      <w:r w:rsidRPr="00327547">
        <w:rPr>
          <w:i/>
          <w:sz w:val="28"/>
          <w:szCs w:val="28"/>
        </w:rPr>
        <w:t>Рис. 2. Кредитная задолженность на душу населения в ФО России на 1.01.2016 г. (тыс. руб.; в знаменателе – в % к среднему по РФ)</w:t>
      </w:r>
    </w:p>
    <w:p w:rsidR="00327547" w:rsidRPr="00327547" w:rsidRDefault="00327547" w:rsidP="00327547">
      <w:pPr>
        <w:pStyle w:val="a4"/>
        <w:jc w:val="center"/>
        <w:rPr>
          <w:i/>
          <w:sz w:val="28"/>
          <w:szCs w:val="28"/>
        </w:rPr>
      </w:pPr>
    </w:p>
    <w:p w:rsidR="00327547" w:rsidRDefault="00327547" w:rsidP="00EB1B78">
      <w:pPr>
        <w:pStyle w:val="a4"/>
        <w:jc w:val="both"/>
        <w:rPr>
          <w:sz w:val="28"/>
          <w:szCs w:val="28"/>
        </w:rPr>
      </w:pPr>
    </w:p>
    <w:p w:rsidR="00327547" w:rsidRDefault="00327547" w:rsidP="00EB1B78">
      <w:pPr>
        <w:pStyle w:val="a4"/>
        <w:jc w:val="both"/>
        <w:rPr>
          <w:sz w:val="28"/>
          <w:szCs w:val="28"/>
        </w:rPr>
      </w:pPr>
    </w:p>
    <w:p w:rsidR="00EB1B78" w:rsidRPr="002F44BA" w:rsidRDefault="00EB1B78" w:rsidP="007B53AB">
      <w:pPr>
        <w:pStyle w:val="a4"/>
        <w:ind w:firstLine="709"/>
        <w:jc w:val="both"/>
        <w:rPr>
          <w:sz w:val="28"/>
          <w:szCs w:val="28"/>
        </w:rPr>
      </w:pPr>
      <w:r w:rsidRPr="002F44BA">
        <w:rPr>
          <w:sz w:val="28"/>
          <w:szCs w:val="28"/>
        </w:rPr>
        <w:t>Дальневосточные субрегионы – одни из немногих, кто значительно улучшил свои позиции за анализируемые годы. На начало 2016</w:t>
      </w:r>
      <w:r w:rsidR="007B53AB">
        <w:rPr>
          <w:sz w:val="28"/>
          <w:szCs w:val="28"/>
        </w:rPr>
        <w:t xml:space="preserve"> </w:t>
      </w:r>
      <w:r w:rsidRPr="002F44BA">
        <w:rPr>
          <w:sz w:val="28"/>
          <w:szCs w:val="28"/>
        </w:rPr>
        <w:t>г. большинство (семь из девяти) дальневосточных субрегионов входили в первую двадцатку регионов-лидеров по уровню среднедушевой кредитной задолженности физических лиц, в том числе</w:t>
      </w:r>
      <w:r w:rsidR="007B53AB">
        <w:rPr>
          <w:sz w:val="28"/>
          <w:szCs w:val="28"/>
        </w:rPr>
        <w:t>:</w:t>
      </w:r>
      <w:r w:rsidRPr="002F44BA">
        <w:rPr>
          <w:sz w:val="28"/>
          <w:szCs w:val="28"/>
        </w:rPr>
        <w:t xml:space="preserve"> Магаданская область,</w:t>
      </w:r>
      <w:r w:rsidR="007B53AB">
        <w:rPr>
          <w:sz w:val="28"/>
          <w:szCs w:val="28"/>
        </w:rPr>
        <w:t xml:space="preserve"> Якутия и Сахалинская область (</w:t>
      </w:r>
      <w:r w:rsidRPr="002F44BA">
        <w:rPr>
          <w:sz w:val="28"/>
          <w:szCs w:val="28"/>
        </w:rPr>
        <w:t>в десятку лидеров</w:t>
      </w:r>
      <w:r w:rsidR="007B53AB">
        <w:rPr>
          <w:sz w:val="28"/>
          <w:szCs w:val="28"/>
        </w:rPr>
        <w:t>);</w:t>
      </w:r>
      <w:r w:rsidRPr="002F44BA">
        <w:rPr>
          <w:sz w:val="28"/>
          <w:szCs w:val="28"/>
        </w:rPr>
        <w:t xml:space="preserve"> далее располагались</w:t>
      </w:r>
      <w:r w:rsidR="007B53AB">
        <w:rPr>
          <w:sz w:val="28"/>
          <w:szCs w:val="28"/>
        </w:rPr>
        <w:t>:</w:t>
      </w:r>
      <w:r w:rsidRPr="002F44BA">
        <w:rPr>
          <w:sz w:val="28"/>
          <w:szCs w:val="28"/>
        </w:rPr>
        <w:t xml:space="preserve"> Камчатский </w:t>
      </w:r>
      <w:r w:rsidRPr="002F44BA">
        <w:rPr>
          <w:sz w:val="28"/>
          <w:szCs w:val="28"/>
        </w:rPr>
        <w:lastRenderedPageBreak/>
        <w:t>(13-е место) и Хабаровский края (17-е место), Амурская область (18-е место), Чукотский АО (20-е место), Приморский край (36-е место) и ЕАО (44-е место) (</w:t>
      </w:r>
      <w:r w:rsidRPr="007B53AB">
        <w:rPr>
          <w:sz w:val="28"/>
          <w:szCs w:val="28"/>
        </w:rPr>
        <w:t>рис.</w:t>
      </w:r>
      <w:r w:rsidR="007B53AB">
        <w:rPr>
          <w:sz w:val="28"/>
          <w:szCs w:val="28"/>
        </w:rPr>
        <w:t xml:space="preserve"> </w:t>
      </w:r>
      <w:r w:rsidRPr="007B53AB">
        <w:rPr>
          <w:sz w:val="28"/>
          <w:szCs w:val="28"/>
        </w:rPr>
        <w:t>3</w:t>
      </w:r>
      <w:r w:rsidRPr="002F44BA">
        <w:rPr>
          <w:sz w:val="28"/>
          <w:szCs w:val="28"/>
        </w:rPr>
        <w:t>).</w:t>
      </w:r>
    </w:p>
    <w:p w:rsidR="00EB1B78" w:rsidRPr="002F44BA" w:rsidRDefault="00EB1B78" w:rsidP="00EB1B78">
      <w:pPr>
        <w:pStyle w:val="a4"/>
        <w:jc w:val="both"/>
        <w:rPr>
          <w:sz w:val="28"/>
          <w:szCs w:val="28"/>
        </w:rPr>
      </w:pPr>
    </w:p>
    <w:p w:rsidR="00EB1B78" w:rsidRPr="002F44BA" w:rsidRDefault="00EB1B78" w:rsidP="00EB1B78">
      <w:pPr>
        <w:pStyle w:val="a4"/>
        <w:jc w:val="center"/>
        <w:rPr>
          <w:sz w:val="28"/>
          <w:szCs w:val="28"/>
        </w:rPr>
      </w:pPr>
      <w:r w:rsidRPr="002F44BA">
        <w:rPr>
          <w:noProof/>
          <w:sz w:val="28"/>
          <w:szCs w:val="28"/>
          <w:lang w:eastAsia="ru-RU"/>
        </w:rPr>
        <w:drawing>
          <wp:inline distT="0" distB="0" distL="0" distR="0">
            <wp:extent cx="5974660" cy="3601941"/>
            <wp:effectExtent l="19050" t="0" r="26090"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C2367" w:rsidRDefault="00EB1B78" w:rsidP="00EB1B78">
      <w:pPr>
        <w:pStyle w:val="a4"/>
        <w:jc w:val="both"/>
        <w:rPr>
          <w:sz w:val="28"/>
          <w:szCs w:val="28"/>
        </w:rPr>
      </w:pPr>
      <w:r w:rsidRPr="002F44BA">
        <w:rPr>
          <w:sz w:val="28"/>
          <w:szCs w:val="28"/>
        </w:rPr>
        <w:t xml:space="preserve"> </w:t>
      </w:r>
      <w:r w:rsidRPr="002F44BA">
        <w:rPr>
          <w:sz w:val="28"/>
          <w:szCs w:val="28"/>
        </w:rPr>
        <w:tab/>
      </w:r>
    </w:p>
    <w:p w:rsidR="007B53AB" w:rsidRPr="00327547" w:rsidRDefault="007B53AB" w:rsidP="007B53AB">
      <w:pPr>
        <w:pStyle w:val="a4"/>
        <w:jc w:val="center"/>
        <w:rPr>
          <w:i/>
          <w:sz w:val="28"/>
          <w:szCs w:val="28"/>
        </w:rPr>
      </w:pPr>
      <w:r w:rsidRPr="00327547">
        <w:rPr>
          <w:i/>
          <w:sz w:val="28"/>
          <w:szCs w:val="28"/>
        </w:rPr>
        <w:t xml:space="preserve">Рис. </w:t>
      </w:r>
      <w:r>
        <w:rPr>
          <w:i/>
          <w:sz w:val="28"/>
          <w:szCs w:val="28"/>
        </w:rPr>
        <w:t>3</w:t>
      </w:r>
      <w:r w:rsidRPr="00327547">
        <w:rPr>
          <w:i/>
          <w:sz w:val="28"/>
          <w:szCs w:val="28"/>
        </w:rPr>
        <w:t>.</w:t>
      </w:r>
      <w:r w:rsidRPr="007B53AB">
        <w:rPr>
          <w:i/>
          <w:sz w:val="28"/>
          <w:szCs w:val="28"/>
        </w:rPr>
        <w:t xml:space="preserve"> </w:t>
      </w:r>
      <w:r w:rsidRPr="00327547">
        <w:rPr>
          <w:i/>
          <w:sz w:val="28"/>
          <w:szCs w:val="28"/>
        </w:rPr>
        <w:t xml:space="preserve">Кредитная задолженность на душу населения в </w:t>
      </w:r>
      <w:r>
        <w:rPr>
          <w:i/>
          <w:sz w:val="28"/>
          <w:szCs w:val="28"/>
        </w:rPr>
        <w:t>субрегионах ДФО</w:t>
      </w:r>
      <w:r w:rsidRPr="00327547">
        <w:rPr>
          <w:i/>
          <w:sz w:val="28"/>
          <w:szCs w:val="28"/>
        </w:rPr>
        <w:t xml:space="preserve"> на 1.01.2016 г. (тыс. руб.; в знаменателе – в % к среднему по РФ)</w:t>
      </w:r>
    </w:p>
    <w:p w:rsidR="007B53AB" w:rsidRPr="00327547" w:rsidRDefault="007B53AB" w:rsidP="007B53AB">
      <w:pPr>
        <w:pStyle w:val="a4"/>
        <w:jc w:val="center"/>
        <w:rPr>
          <w:i/>
          <w:sz w:val="28"/>
          <w:szCs w:val="28"/>
        </w:rPr>
      </w:pPr>
    </w:p>
    <w:p w:rsidR="00EB1B78" w:rsidRPr="002F44BA" w:rsidRDefault="00EB1B78" w:rsidP="00EC2367">
      <w:pPr>
        <w:pStyle w:val="a4"/>
        <w:ind w:firstLine="708"/>
        <w:jc w:val="both"/>
        <w:rPr>
          <w:sz w:val="28"/>
          <w:szCs w:val="28"/>
        </w:rPr>
      </w:pPr>
      <w:r w:rsidRPr="002F44BA">
        <w:rPr>
          <w:sz w:val="28"/>
          <w:szCs w:val="28"/>
        </w:rPr>
        <w:t>Естественно, что при незначительной динамике численности населения б</w:t>
      </w:r>
      <w:r w:rsidRPr="00630BD6">
        <w:rPr>
          <w:sz w:val="28"/>
          <w:szCs w:val="28"/>
        </w:rPr>
        <w:t>о</w:t>
      </w:r>
      <w:r w:rsidRPr="002F44BA">
        <w:rPr>
          <w:sz w:val="28"/>
          <w:szCs w:val="28"/>
        </w:rPr>
        <w:t xml:space="preserve">льшую долю изменения искомого среднедушевого показателя следует отнести на счет динамики абсолютных объемов кредитной задолженности в дальневосточных субрегионах. А это делает задачу </w:t>
      </w:r>
      <w:r w:rsidR="00630BD6">
        <w:rPr>
          <w:sz w:val="28"/>
          <w:szCs w:val="28"/>
        </w:rPr>
        <w:t xml:space="preserve">по </w:t>
      </w:r>
      <w:r w:rsidRPr="002F44BA">
        <w:rPr>
          <w:sz w:val="28"/>
          <w:szCs w:val="28"/>
        </w:rPr>
        <w:t>определени</w:t>
      </w:r>
      <w:r w:rsidR="00630BD6">
        <w:rPr>
          <w:sz w:val="28"/>
          <w:szCs w:val="28"/>
        </w:rPr>
        <w:t>ю</w:t>
      </w:r>
      <w:r w:rsidRPr="002F44BA">
        <w:rPr>
          <w:sz w:val="28"/>
          <w:szCs w:val="28"/>
        </w:rPr>
        <w:t xml:space="preserve"> факторов, влияющих на эти объемы, актуальной.</w:t>
      </w:r>
    </w:p>
    <w:p w:rsidR="00EB1B78" w:rsidRPr="002F44BA" w:rsidRDefault="00F446AE" w:rsidP="00F446AE">
      <w:pPr>
        <w:pStyle w:val="a4"/>
        <w:ind w:firstLine="708"/>
        <w:jc w:val="both"/>
        <w:rPr>
          <w:sz w:val="28"/>
          <w:szCs w:val="28"/>
        </w:rPr>
      </w:pPr>
      <w:r w:rsidRPr="002F44BA">
        <w:rPr>
          <w:sz w:val="28"/>
          <w:szCs w:val="28"/>
        </w:rPr>
        <w:t>Р</w:t>
      </w:r>
      <w:r w:rsidR="00EB1B78" w:rsidRPr="002F44BA">
        <w:rPr>
          <w:sz w:val="28"/>
          <w:szCs w:val="28"/>
        </w:rPr>
        <w:t xml:space="preserve">ассмотрим </w:t>
      </w:r>
      <w:r w:rsidRPr="002F44BA">
        <w:rPr>
          <w:sz w:val="28"/>
          <w:szCs w:val="28"/>
        </w:rPr>
        <w:t xml:space="preserve"> взаимосвязи абсолютных объемов рынка потребительских кредитов с </w:t>
      </w:r>
      <w:r w:rsidR="00EB1B78" w:rsidRPr="002F44BA">
        <w:rPr>
          <w:sz w:val="28"/>
          <w:szCs w:val="28"/>
        </w:rPr>
        <w:t>важнейши</w:t>
      </w:r>
      <w:r w:rsidRPr="002F44BA">
        <w:rPr>
          <w:sz w:val="28"/>
          <w:szCs w:val="28"/>
        </w:rPr>
        <w:t>м</w:t>
      </w:r>
      <w:r w:rsidR="00EB1B78" w:rsidRPr="002F44BA">
        <w:rPr>
          <w:sz w:val="28"/>
          <w:szCs w:val="28"/>
        </w:rPr>
        <w:t xml:space="preserve"> фактор</w:t>
      </w:r>
      <w:r w:rsidRPr="002F44BA">
        <w:rPr>
          <w:sz w:val="28"/>
          <w:szCs w:val="28"/>
        </w:rPr>
        <w:t>ом</w:t>
      </w:r>
      <w:r w:rsidR="002D12F3" w:rsidRPr="002F44BA">
        <w:rPr>
          <w:sz w:val="28"/>
          <w:szCs w:val="28"/>
        </w:rPr>
        <w:t>, формирующи</w:t>
      </w:r>
      <w:r w:rsidRPr="002F44BA">
        <w:rPr>
          <w:sz w:val="28"/>
          <w:szCs w:val="28"/>
        </w:rPr>
        <w:t>м</w:t>
      </w:r>
      <w:r w:rsidR="00EB1B78" w:rsidRPr="002F44BA">
        <w:rPr>
          <w:sz w:val="28"/>
          <w:szCs w:val="28"/>
        </w:rPr>
        <w:t xml:space="preserve"> спрос</w:t>
      </w:r>
      <w:r w:rsidR="00630BD6">
        <w:rPr>
          <w:sz w:val="28"/>
          <w:szCs w:val="28"/>
        </w:rPr>
        <w:t>,</w:t>
      </w:r>
      <w:r w:rsidR="002D12F3" w:rsidRPr="002F44BA">
        <w:rPr>
          <w:sz w:val="28"/>
          <w:szCs w:val="28"/>
        </w:rPr>
        <w:t xml:space="preserve"> </w:t>
      </w:r>
      <w:r w:rsidR="00EB1B78" w:rsidRPr="002F44BA">
        <w:rPr>
          <w:sz w:val="28"/>
          <w:szCs w:val="28"/>
        </w:rPr>
        <w:t>– денежны</w:t>
      </w:r>
      <w:r w:rsidRPr="002F44BA">
        <w:rPr>
          <w:sz w:val="28"/>
          <w:szCs w:val="28"/>
        </w:rPr>
        <w:t>ми</w:t>
      </w:r>
      <w:r w:rsidR="00EB1B78" w:rsidRPr="002F44BA">
        <w:rPr>
          <w:sz w:val="28"/>
          <w:szCs w:val="28"/>
        </w:rPr>
        <w:t xml:space="preserve"> доход</w:t>
      </w:r>
      <w:r w:rsidRPr="002F44BA">
        <w:rPr>
          <w:sz w:val="28"/>
          <w:szCs w:val="28"/>
        </w:rPr>
        <w:t xml:space="preserve">ами </w:t>
      </w:r>
      <w:r w:rsidR="00EB1B78" w:rsidRPr="002F44BA">
        <w:rPr>
          <w:sz w:val="28"/>
          <w:szCs w:val="28"/>
        </w:rPr>
        <w:t xml:space="preserve"> населения.</w:t>
      </w:r>
      <w:r w:rsidRPr="002F44BA">
        <w:rPr>
          <w:sz w:val="28"/>
          <w:szCs w:val="28"/>
        </w:rPr>
        <w:t xml:space="preserve"> </w:t>
      </w:r>
      <w:r w:rsidR="00EB1B78" w:rsidRPr="002F44BA">
        <w:rPr>
          <w:sz w:val="28"/>
          <w:szCs w:val="28"/>
        </w:rPr>
        <w:t>Чтобы нивелировать влияние разнонаправленных тенденций в изменении численности населения по субъектам РФ, оба показателя рассчитывались на душу населения. Денежные доходы населения в целом по России в 2015</w:t>
      </w:r>
      <w:r w:rsidR="00630BD6">
        <w:rPr>
          <w:sz w:val="28"/>
          <w:szCs w:val="28"/>
        </w:rPr>
        <w:t xml:space="preserve"> </w:t>
      </w:r>
      <w:r w:rsidR="00EB1B78" w:rsidRPr="002F44BA">
        <w:rPr>
          <w:sz w:val="28"/>
          <w:szCs w:val="28"/>
        </w:rPr>
        <w:t>г.</w:t>
      </w:r>
      <w:r w:rsidR="00630BD6">
        <w:rPr>
          <w:sz w:val="28"/>
          <w:szCs w:val="28"/>
        </w:rPr>
        <w:t>,</w:t>
      </w:r>
      <w:r w:rsidR="00EB1B78" w:rsidRPr="002F44BA">
        <w:rPr>
          <w:sz w:val="28"/>
          <w:szCs w:val="28"/>
        </w:rPr>
        <w:t xml:space="preserve"> по сравнению с 2010</w:t>
      </w:r>
      <w:r w:rsidR="00630BD6">
        <w:rPr>
          <w:sz w:val="28"/>
          <w:szCs w:val="28"/>
        </w:rPr>
        <w:t xml:space="preserve"> </w:t>
      </w:r>
      <w:r w:rsidR="00EB1B78" w:rsidRPr="002F44BA">
        <w:rPr>
          <w:sz w:val="28"/>
          <w:szCs w:val="28"/>
        </w:rPr>
        <w:t>г.</w:t>
      </w:r>
      <w:r w:rsidR="00630BD6">
        <w:rPr>
          <w:sz w:val="28"/>
          <w:szCs w:val="28"/>
        </w:rPr>
        <w:t>,</w:t>
      </w:r>
      <w:r w:rsidR="00EB1B78" w:rsidRPr="002F44BA">
        <w:rPr>
          <w:sz w:val="28"/>
          <w:szCs w:val="28"/>
        </w:rPr>
        <w:t xml:space="preserve"> выросли в 1,59</w:t>
      </w:r>
      <w:r w:rsidR="00630BD6">
        <w:rPr>
          <w:sz w:val="28"/>
          <w:szCs w:val="28"/>
        </w:rPr>
        <w:t xml:space="preserve"> </w:t>
      </w:r>
      <w:r w:rsidR="00EB1B78" w:rsidRPr="002F44BA">
        <w:rPr>
          <w:sz w:val="28"/>
          <w:szCs w:val="28"/>
        </w:rPr>
        <w:t>раза, кредитная задолженность – в 2,55</w:t>
      </w:r>
      <w:r w:rsidR="00630BD6">
        <w:rPr>
          <w:sz w:val="28"/>
          <w:szCs w:val="28"/>
        </w:rPr>
        <w:t xml:space="preserve"> </w:t>
      </w:r>
      <w:r w:rsidR="00EB1B78" w:rsidRPr="002F44BA">
        <w:rPr>
          <w:sz w:val="28"/>
          <w:szCs w:val="28"/>
        </w:rPr>
        <w:t>раза. Таким образом, коэффициент опережения роста кредитной задолженности</w:t>
      </w:r>
      <w:r w:rsidR="00630BD6">
        <w:rPr>
          <w:sz w:val="28"/>
          <w:szCs w:val="28"/>
        </w:rPr>
        <w:t>,</w:t>
      </w:r>
      <w:r w:rsidR="00EB1B78" w:rsidRPr="002F44BA">
        <w:rPr>
          <w:sz w:val="28"/>
          <w:szCs w:val="28"/>
        </w:rPr>
        <w:t xml:space="preserve"> по сравнению с ростом доходов</w:t>
      </w:r>
      <w:r w:rsidR="00630BD6">
        <w:rPr>
          <w:sz w:val="28"/>
          <w:szCs w:val="28"/>
        </w:rPr>
        <w:t>,</w:t>
      </w:r>
      <w:r w:rsidR="00EB1B78" w:rsidRPr="002F44BA">
        <w:rPr>
          <w:sz w:val="28"/>
          <w:szCs w:val="28"/>
        </w:rPr>
        <w:t xml:space="preserve"> составил в среднем по России 1,6.</w:t>
      </w:r>
    </w:p>
    <w:p w:rsidR="00EB1B78" w:rsidRPr="002F44BA" w:rsidRDefault="00EB1B78" w:rsidP="00EB1B78">
      <w:pPr>
        <w:pStyle w:val="a4"/>
        <w:ind w:firstLine="708"/>
        <w:jc w:val="both"/>
        <w:rPr>
          <w:sz w:val="28"/>
          <w:szCs w:val="28"/>
        </w:rPr>
      </w:pPr>
      <w:r w:rsidRPr="002F44BA">
        <w:rPr>
          <w:sz w:val="28"/>
          <w:szCs w:val="28"/>
        </w:rPr>
        <w:t>При</w:t>
      </w:r>
      <w:r w:rsidR="00F446AE" w:rsidRPr="002F44BA">
        <w:rPr>
          <w:sz w:val="28"/>
          <w:szCs w:val="28"/>
        </w:rPr>
        <w:t xml:space="preserve"> этом</w:t>
      </w:r>
      <w:r w:rsidR="00630BD6">
        <w:rPr>
          <w:sz w:val="28"/>
          <w:szCs w:val="28"/>
        </w:rPr>
        <w:t>,</w:t>
      </w:r>
      <w:r w:rsidRPr="002F44BA">
        <w:rPr>
          <w:sz w:val="28"/>
          <w:szCs w:val="28"/>
        </w:rPr>
        <w:t xml:space="preserve"> доходы, так же как и кредитная задолженность, росли неравномерно по федеральным округам и субъектам РФ. Темпы роста доходов варьировали от 1,7</w:t>
      </w:r>
      <w:r w:rsidR="00630BD6">
        <w:rPr>
          <w:sz w:val="28"/>
          <w:szCs w:val="28"/>
        </w:rPr>
        <w:t xml:space="preserve"> – </w:t>
      </w:r>
      <w:r w:rsidRPr="002F44BA">
        <w:rPr>
          <w:sz w:val="28"/>
          <w:szCs w:val="28"/>
        </w:rPr>
        <w:t>1,8</w:t>
      </w:r>
      <w:r w:rsidR="00630BD6">
        <w:rPr>
          <w:sz w:val="28"/>
          <w:szCs w:val="28"/>
        </w:rPr>
        <w:t xml:space="preserve"> </w:t>
      </w:r>
      <w:r w:rsidRPr="002F44BA">
        <w:rPr>
          <w:sz w:val="28"/>
          <w:szCs w:val="28"/>
        </w:rPr>
        <w:t xml:space="preserve">раза в Южном, Северо-Кавказском и </w:t>
      </w:r>
      <w:r w:rsidRPr="002F44BA">
        <w:rPr>
          <w:sz w:val="28"/>
          <w:szCs w:val="28"/>
        </w:rPr>
        <w:lastRenderedPageBreak/>
        <w:t>Дальневосточном ФО до 1,5</w:t>
      </w:r>
      <w:r w:rsidR="00630BD6">
        <w:rPr>
          <w:sz w:val="28"/>
          <w:szCs w:val="28"/>
        </w:rPr>
        <w:t xml:space="preserve"> </w:t>
      </w:r>
      <w:r w:rsidRPr="002F44BA">
        <w:rPr>
          <w:sz w:val="28"/>
          <w:szCs w:val="28"/>
        </w:rPr>
        <w:t>раза в Уральском ФО, что привело к некоторому сглаживанию дифференциации показателя</w:t>
      </w:r>
      <w:r w:rsidR="00F446AE" w:rsidRPr="002F44BA">
        <w:rPr>
          <w:sz w:val="28"/>
          <w:szCs w:val="28"/>
        </w:rPr>
        <w:t>.</w:t>
      </w:r>
    </w:p>
    <w:p w:rsidR="00EB1B78" w:rsidRPr="002F44BA" w:rsidRDefault="00EB1B78" w:rsidP="00EB1B78">
      <w:pPr>
        <w:pStyle w:val="a4"/>
        <w:jc w:val="both"/>
        <w:rPr>
          <w:sz w:val="28"/>
          <w:szCs w:val="28"/>
        </w:rPr>
      </w:pPr>
    </w:p>
    <w:p w:rsidR="00EB1B78" w:rsidRPr="002F44BA" w:rsidRDefault="00EB1B78" w:rsidP="00EB1B78">
      <w:pPr>
        <w:pStyle w:val="a4"/>
        <w:jc w:val="center"/>
        <w:rPr>
          <w:sz w:val="28"/>
          <w:szCs w:val="28"/>
        </w:rPr>
      </w:pPr>
      <w:r w:rsidRPr="002F44BA">
        <w:rPr>
          <w:noProof/>
          <w:sz w:val="28"/>
          <w:szCs w:val="28"/>
          <w:lang w:eastAsia="ru-RU"/>
        </w:rPr>
        <w:drawing>
          <wp:inline distT="0" distB="0" distL="0" distR="0">
            <wp:extent cx="5915025" cy="4438650"/>
            <wp:effectExtent l="19050" t="0" r="9525" b="0"/>
            <wp:docPr id="1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B1B78" w:rsidRDefault="00EB1B78" w:rsidP="00EB1B78">
      <w:pPr>
        <w:pStyle w:val="a4"/>
        <w:jc w:val="both"/>
        <w:rPr>
          <w:sz w:val="28"/>
          <w:szCs w:val="28"/>
        </w:rPr>
      </w:pPr>
    </w:p>
    <w:p w:rsidR="00B1683D" w:rsidRDefault="00630BD6" w:rsidP="00B1683D">
      <w:pPr>
        <w:pStyle w:val="a4"/>
        <w:jc w:val="center"/>
        <w:rPr>
          <w:i/>
          <w:sz w:val="28"/>
          <w:szCs w:val="28"/>
        </w:rPr>
      </w:pPr>
      <w:r w:rsidRPr="00327547">
        <w:rPr>
          <w:i/>
          <w:sz w:val="28"/>
          <w:szCs w:val="28"/>
        </w:rPr>
        <w:t xml:space="preserve">Рис. </w:t>
      </w:r>
      <w:r>
        <w:rPr>
          <w:i/>
          <w:sz w:val="28"/>
          <w:szCs w:val="28"/>
        </w:rPr>
        <w:t>4</w:t>
      </w:r>
      <w:r w:rsidRPr="00327547">
        <w:rPr>
          <w:i/>
          <w:sz w:val="28"/>
          <w:szCs w:val="28"/>
        </w:rPr>
        <w:t>.</w:t>
      </w:r>
      <w:r>
        <w:rPr>
          <w:i/>
          <w:sz w:val="28"/>
          <w:szCs w:val="28"/>
        </w:rPr>
        <w:t xml:space="preserve"> Распределение федеральных округов России по уровню среднедушевых показателей кредитной задолж</w:t>
      </w:r>
      <w:r w:rsidR="00B1683D">
        <w:rPr>
          <w:i/>
          <w:sz w:val="28"/>
          <w:szCs w:val="28"/>
        </w:rPr>
        <w:t>ен</w:t>
      </w:r>
      <w:r>
        <w:rPr>
          <w:i/>
          <w:sz w:val="28"/>
          <w:szCs w:val="28"/>
        </w:rPr>
        <w:t>ности</w:t>
      </w:r>
      <w:r w:rsidR="00B1683D">
        <w:rPr>
          <w:i/>
          <w:sz w:val="28"/>
          <w:szCs w:val="28"/>
        </w:rPr>
        <w:t xml:space="preserve"> и денежных доходов населения </w:t>
      </w:r>
    </w:p>
    <w:p w:rsidR="00630BD6" w:rsidRDefault="00B1683D" w:rsidP="00B1683D">
      <w:pPr>
        <w:pStyle w:val="a4"/>
        <w:jc w:val="center"/>
        <w:rPr>
          <w:sz w:val="28"/>
          <w:szCs w:val="28"/>
        </w:rPr>
      </w:pPr>
      <w:r>
        <w:rPr>
          <w:i/>
          <w:sz w:val="28"/>
          <w:szCs w:val="28"/>
        </w:rPr>
        <w:t>в 2015 г. (тыс. руб./чел.)</w:t>
      </w:r>
    </w:p>
    <w:p w:rsidR="00630BD6" w:rsidRDefault="00630BD6" w:rsidP="00EB1B78">
      <w:pPr>
        <w:pStyle w:val="a4"/>
        <w:jc w:val="both"/>
        <w:rPr>
          <w:sz w:val="28"/>
          <w:szCs w:val="28"/>
        </w:rPr>
      </w:pPr>
    </w:p>
    <w:p w:rsidR="00EB1B78" w:rsidRPr="002F44BA" w:rsidRDefault="00F446AE" w:rsidP="00B1683D">
      <w:pPr>
        <w:pStyle w:val="a4"/>
        <w:ind w:firstLine="709"/>
        <w:jc w:val="both"/>
        <w:rPr>
          <w:sz w:val="28"/>
          <w:szCs w:val="28"/>
        </w:rPr>
      </w:pPr>
      <w:r w:rsidRPr="002F44BA">
        <w:rPr>
          <w:sz w:val="28"/>
          <w:szCs w:val="28"/>
        </w:rPr>
        <w:t xml:space="preserve">Однако </w:t>
      </w:r>
      <w:r w:rsidR="00EB1B78" w:rsidRPr="002F44BA">
        <w:rPr>
          <w:sz w:val="28"/>
          <w:szCs w:val="28"/>
        </w:rPr>
        <w:t>сами уровни показателей подвержены высокой дифференциации, что демонстрируют рис.</w:t>
      </w:r>
      <w:r w:rsidR="00B1683D">
        <w:rPr>
          <w:sz w:val="28"/>
          <w:szCs w:val="28"/>
        </w:rPr>
        <w:t xml:space="preserve"> </w:t>
      </w:r>
      <w:r w:rsidR="00EB1B78" w:rsidRPr="002F44BA">
        <w:rPr>
          <w:sz w:val="28"/>
          <w:szCs w:val="28"/>
        </w:rPr>
        <w:t>4 за 2015</w:t>
      </w:r>
      <w:r w:rsidR="00B1683D">
        <w:rPr>
          <w:sz w:val="28"/>
          <w:szCs w:val="28"/>
        </w:rPr>
        <w:t xml:space="preserve"> </w:t>
      </w:r>
      <w:r w:rsidR="00EB1B78" w:rsidRPr="002F44BA">
        <w:rPr>
          <w:sz w:val="28"/>
          <w:szCs w:val="28"/>
        </w:rPr>
        <w:t>г. (в разрезе ФО России) и данные табл.</w:t>
      </w:r>
      <w:r w:rsidR="00B1683D">
        <w:rPr>
          <w:sz w:val="28"/>
          <w:szCs w:val="28"/>
        </w:rPr>
        <w:t xml:space="preserve"> </w:t>
      </w:r>
      <w:r w:rsidR="00EB1B78" w:rsidRPr="002F44BA">
        <w:rPr>
          <w:sz w:val="28"/>
          <w:szCs w:val="28"/>
        </w:rPr>
        <w:t>1 за 2013</w:t>
      </w:r>
      <w:r w:rsidR="00B1683D">
        <w:rPr>
          <w:sz w:val="28"/>
          <w:szCs w:val="28"/>
        </w:rPr>
        <w:t xml:space="preserve"> – </w:t>
      </w:r>
      <w:r w:rsidR="00EB1B78" w:rsidRPr="002F44BA">
        <w:rPr>
          <w:sz w:val="28"/>
          <w:szCs w:val="28"/>
        </w:rPr>
        <w:t>2015</w:t>
      </w:r>
      <w:r w:rsidR="00B1683D">
        <w:rPr>
          <w:sz w:val="28"/>
          <w:szCs w:val="28"/>
        </w:rPr>
        <w:t xml:space="preserve"> </w:t>
      </w:r>
      <w:r w:rsidR="00EB1B78" w:rsidRPr="002F44BA">
        <w:rPr>
          <w:sz w:val="28"/>
          <w:szCs w:val="28"/>
        </w:rPr>
        <w:t>гг. (по данным 83 субъектов РФ). В таблице дана характеристика уровня дифференциации этих показателей по основным статистическим критериям: средни</w:t>
      </w:r>
      <w:r w:rsidR="00B1683D">
        <w:rPr>
          <w:sz w:val="28"/>
          <w:szCs w:val="28"/>
        </w:rPr>
        <w:t>м</w:t>
      </w:r>
      <w:r w:rsidR="00EB1B78" w:rsidRPr="002F44BA">
        <w:rPr>
          <w:sz w:val="28"/>
          <w:szCs w:val="28"/>
        </w:rPr>
        <w:t>, минимальны</w:t>
      </w:r>
      <w:r w:rsidR="00B1683D">
        <w:rPr>
          <w:sz w:val="28"/>
          <w:szCs w:val="28"/>
        </w:rPr>
        <w:t>м</w:t>
      </w:r>
      <w:r w:rsidR="00EB1B78" w:rsidRPr="002F44BA">
        <w:rPr>
          <w:sz w:val="28"/>
          <w:szCs w:val="28"/>
        </w:rPr>
        <w:t xml:space="preserve"> и максимальны</w:t>
      </w:r>
      <w:r w:rsidR="00B1683D">
        <w:rPr>
          <w:sz w:val="28"/>
          <w:szCs w:val="28"/>
        </w:rPr>
        <w:t>м</w:t>
      </w:r>
      <w:r w:rsidR="00EB1B78" w:rsidRPr="002F44BA">
        <w:rPr>
          <w:sz w:val="28"/>
          <w:szCs w:val="28"/>
        </w:rPr>
        <w:t xml:space="preserve"> величин</w:t>
      </w:r>
      <w:r w:rsidR="00B1683D">
        <w:rPr>
          <w:sz w:val="28"/>
          <w:szCs w:val="28"/>
        </w:rPr>
        <w:t>ам</w:t>
      </w:r>
      <w:r w:rsidR="00EB1B78" w:rsidRPr="002F44BA">
        <w:rPr>
          <w:sz w:val="28"/>
          <w:szCs w:val="28"/>
        </w:rPr>
        <w:t>, их соотношени</w:t>
      </w:r>
      <w:r w:rsidR="00B1683D">
        <w:rPr>
          <w:sz w:val="28"/>
          <w:szCs w:val="28"/>
        </w:rPr>
        <w:t>ю</w:t>
      </w:r>
      <w:r w:rsidR="00EB1B78" w:rsidRPr="002F44BA">
        <w:rPr>
          <w:sz w:val="28"/>
          <w:szCs w:val="28"/>
        </w:rPr>
        <w:t xml:space="preserve"> и коэффициент</w:t>
      </w:r>
      <w:r w:rsidR="00B1683D">
        <w:rPr>
          <w:sz w:val="28"/>
          <w:szCs w:val="28"/>
        </w:rPr>
        <w:t>ам</w:t>
      </w:r>
      <w:r w:rsidR="00EB1B78" w:rsidRPr="002F44BA">
        <w:rPr>
          <w:sz w:val="28"/>
          <w:szCs w:val="28"/>
        </w:rPr>
        <w:t xml:space="preserve"> вариации. Как видим, оба показателя крайне дифференцированы. Так, соотношения максимального и минимального значений показателей варьируют от 5,3</w:t>
      </w:r>
      <w:r w:rsidR="00B1683D">
        <w:rPr>
          <w:sz w:val="28"/>
          <w:szCs w:val="28"/>
        </w:rPr>
        <w:t xml:space="preserve"> – </w:t>
      </w:r>
      <w:r w:rsidR="00EB1B78" w:rsidRPr="002F44BA">
        <w:rPr>
          <w:sz w:val="28"/>
          <w:szCs w:val="28"/>
        </w:rPr>
        <w:t>5,9</w:t>
      </w:r>
      <w:r w:rsidR="00B1683D">
        <w:rPr>
          <w:sz w:val="28"/>
          <w:szCs w:val="28"/>
        </w:rPr>
        <w:t xml:space="preserve"> </w:t>
      </w:r>
      <w:r w:rsidR="00EB1B78" w:rsidRPr="002F44BA">
        <w:rPr>
          <w:sz w:val="28"/>
          <w:szCs w:val="28"/>
        </w:rPr>
        <w:t>раза по показателю среднедушевых (годовых) денежных доходов населения до 16</w:t>
      </w:r>
      <w:r w:rsidR="00B1683D">
        <w:rPr>
          <w:sz w:val="28"/>
          <w:szCs w:val="28"/>
        </w:rPr>
        <w:t xml:space="preserve"> – </w:t>
      </w:r>
      <w:r w:rsidR="00EB1B78" w:rsidRPr="002F44BA">
        <w:rPr>
          <w:sz w:val="28"/>
          <w:szCs w:val="28"/>
        </w:rPr>
        <w:t>21</w:t>
      </w:r>
      <w:r w:rsidR="00B1683D">
        <w:rPr>
          <w:sz w:val="28"/>
          <w:szCs w:val="28"/>
        </w:rPr>
        <w:t xml:space="preserve"> </w:t>
      </w:r>
      <w:r w:rsidR="00EB1B78" w:rsidRPr="002F44BA">
        <w:rPr>
          <w:sz w:val="28"/>
          <w:szCs w:val="28"/>
        </w:rPr>
        <w:t>раза по показателю кредитной задолженности на душу населения. При этом</w:t>
      </w:r>
      <w:r w:rsidR="00B1683D">
        <w:rPr>
          <w:sz w:val="28"/>
          <w:szCs w:val="28"/>
        </w:rPr>
        <w:t>,</w:t>
      </w:r>
      <w:r w:rsidR="00EB1B78" w:rsidRPr="002F44BA">
        <w:rPr>
          <w:sz w:val="28"/>
          <w:szCs w:val="28"/>
        </w:rPr>
        <w:t xml:space="preserve"> значения коэффициентов вариации свидетельствуют, что совокупности наблюдений обоих показателей (особенно доходов на душу населения) крайне неоднородны, поскольку значения коэффициентов превышают </w:t>
      </w:r>
      <w:r w:rsidR="00EB1B78" w:rsidRPr="002F44BA">
        <w:rPr>
          <w:sz w:val="28"/>
          <w:szCs w:val="28"/>
        </w:rPr>
        <w:lastRenderedPageBreak/>
        <w:t xml:space="preserve">допустимые пределы (в статистике совокупность наблюдений считается однородной </w:t>
      </w:r>
      <w:r w:rsidR="00B1683D">
        <w:rPr>
          <w:sz w:val="28"/>
          <w:szCs w:val="28"/>
        </w:rPr>
        <w:t>при значении коэффициента до 33</w:t>
      </w:r>
      <w:r w:rsidR="00EB1B78" w:rsidRPr="002F44BA">
        <w:rPr>
          <w:sz w:val="28"/>
          <w:szCs w:val="28"/>
        </w:rPr>
        <w:t>%). Кроме того, динамика коэффициентов вариации показателей свидетельствует о следующей тенденции: если по показателю кредитной задолженности на душу населения отмечается высокая стабильная дифференциация субъектов РФ, то по показателю среднедушевых денежных доходов, которые дифференцированы сильнее</w:t>
      </w:r>
      <w:r w:rsidR="00EB1B78" w:rsidRPr="002F44BA">
        <w:rPr>
          <w:rStyle w:val="a7"/>
          <w:sz w:val="28"/>
          <w:szCs w:val="28"/>
        </w:rPr>
        <w:footnoteReference w:id="4"/>
      </w:r>
      <w:r w:rsidR="00EB1B78" w:rsidRPr="002F44BA">
        <w:rPr>
          <w:sz w:val="28"/>
          <w:szCs w:val="28"/>
        </w:rPr>
        <w:t>, наметилась тенденция к сглаживанию дифференциации субрегионов России (это видно и по величине размаха вариации).</w:t>
      </w:r>
    </w:p>
    <w:p w:rsidR="00B1683D" w:rsidRDefault="00B1683D" w:rsidP="00EB1B78">
      <w:pPr>
        <w:pStyle w:val="a4"/>
        <w:jc w:val="right"/>
        <w:rPr>
          <w:sz w:val="28"/>
          <w:szCs w:val="28"/>
        </w:rPr>
      </w:pPr>
    </w:p>
    <w:p w:rsidR="00EB1B78" w:rsidRPr="00B1683D" w:rsidRDefault="00B1683D" w:rsidP="00EB1B78">
      <w:pPr>
        <w:pStyle w:val="a4"/>
        <w:jc w:val="right"/>
        <w:rPr>
          <w:i/>
          <w:sz w:val="28"/>
          <w:szCs w:val="28"/>
        </w:rPr>
      </w:pPr>
      <w:r w:rsidRPr="00B1683D">
        <w:rPr>
          <w:i/>
          <w:sz w:val="28"/>
          <w:szCs w:val="28"/>
        </w:rPr>
        <w:t>Таблица 1</w:t>
      </w:r>
    </w:p>
    <w:p w:rsidR="00B1683D" w:rsidRPr="002F44BA" w:rsidRDefault="00B1683D" w:rsidP="00EB1B78">
      <w:pPr>
        <w:pStyle w:val="a4"/>
        <w:jc w:val="right"/>
        <w:rPr>
          <w:sz w:val="28"/>
          <w:szCs w:val="28"/>
        </w:rPr>
      </w:pPr>
    </w:p>
    <w:p w:rsidR="00EB1B78" w:rsidRPr="00B1683D" w:rsidRDefault="00EB1B78" w:rsidP="00EB1B78">
      <w:pPr>
        <w:pStyle w:val="a4"/>
        <w:jc w:val="center"/>
        <w:rPr>
          <w:b/>
          <w:sz w:val="28"/>
          <w:szCs w:val="28"/>
        </w:rPr>
      </w:pPr>
      <w:r w:rsidRPr="00B1683D">
        <w:rPr>
          <w:b/>
          <w:sz w:val="28"/>
          <w:szCs w:val="28"/>
        </w:rPr>
        <w:t>Характеристика уровня дифференциации среднедушевых показателей денежных доходов и кредитной задолженности населения в субъектах РФ по основным статистическим критериям в 2013</w:t>
      </w:r>
      <w:r w:rsidR="00B1683D">
        <w:rPr>
          <w:b/>
          <w:sz w:val="28"/>
          <w:szCs w:val="28"/>
        </w:rPr>
        <w:t xml:space="preserve"> – </w:t>
      </w:r>
      <w:r w:rsidRPr="00B1683D">
        <w:rPr>
          <w:b/>
          <w:sz w:val="28"/>
          <w:szCs w:val="28"/>
        </w:rPr>
        <w:t>2015</w:t>
      </w:r>
      <w:r w:rsidR="00B1683D" w:rsidRPr="00B1683D">
        <w:rPr>
          <w:b/>
          <w:sz w:val="28"/>
          <w:szCs w:val="28"/>
        </w:rPr>
        <w:t xml:space="preserve"> </w:t>
      </w:r>
      <w:r w:rsidRPr="00B1683D">
        <w:rPr>
          <w:b/>
          <w:sz w:val="28"/>
          <w:szCs w:val="28"/>
        </w:rPr>
        <w:t>гг.</w:t>
      </w:r>
    </w:p>
    <w:p w:rsidR="00B1683D" w:rsidRPr="002F44BA" w:rsidRDefault="00B1683D" w:rsidP="00EB1B78">
      <w:pPr>
        <w:pStyle w:val="a4"/>
        <w:jc w:val="center"/>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2976"/>
        <w:gridCol w:w="3261"/>
      </w:tblGrid>
      <w:tr w:rsidR="00EB1B78" w:rsidRPr="002F44BA" w:rsidTr="00D059A3">
        <w:trPr>
          <w:trHeight w:val="445"/>
        </w:trPr>
        <w:tc>
          <w:tcPr>
            <w:tcW w:w="3261" w:type="dxa"/>
            <w:shd w:val="clear" w:color="auto" w:fill="auto"/>
            <w:noWrap/>
            <w:vAlign w:val="center"/>
          </w:tcPr>
          <w:p w:rsidR="00EB1B78" w:rsidRPr="00B1683D" w:rsidRDefault="00EB1B78" w:rsidP="00B1683D">
            <w:pPr>
              <w:pStyle w:val="a4"/>
              <w:jc w:val="center"/>
              <w:rPr>
                <w:b/>
                <w:sz w:val="28"/>
                <w:szCs w:val="28"/>
              </w:rPr>
            </w:pPr>
            <w:r w:rsidRPr="00B1683D">
              <w:rPr>
                <w:b/>
                <w:sz w:val="28"/>
                <w:szCs w:val="28"/>
                <w:lang w:eastAsia="ru-RU"/>
              </w:rPr>
              <w:t>Наименование статистического критерия</w:t>
            </w:r>
          </w:p>
        </w:tc>
        <w:tc>
          <w:tcPr>
            <w:tcW w:w="2976" w:type="dxa"/>
            <w:shd w:val="clear" w:color="auto" w:fill="auto"/>
            <w:vAlign w:val="center"/>
          </w:tcPr>
          <w:p w:rsidR="00EB1B78" w:rsidRPr="00B1683D" w:rsidRDefault="00EB1B78" w:rsidP="00B1683D">
            <w:pPr>
              <w:pStyle w:val="a4"/>
              <w:jc w:val="center"/>
              <w:rPr>
                <w:b/>
                <w:sz w:val="28"/>
                <w:szCs w:val="28"/>
              </w:rPr>
            </w:pPr>
            <w:r w:rsidRPr="00B1683D">
              <w:rPr>
                <w:b/>
                <w:sz w:val="28"/>
                <w:szCs w:val="28"/>
                <w:lang w:eastAsia="ru-RU"/>
              </w:rPr>
              <w:t>КЗ д.н. (тыс.руб.)</w:t>
            </w:r>
          </w:p>
        </w:tc>
        <w:tc>
          <w:tcPr>
            <w:tcW w:w="3261" w:type="dxa"/>
            <w:shd w:val="clear" w:color="auto" w:fill="auto"/>
            <w:vAlign w:val="center"/>
          </w:tcPr>
          <w:p w:rsidR="00B1683D" w:rsidRDefault="00EB1B78" w:rsidP="00B1683D">
            <w:pPr>
              <w:pStyle w:val="a4"/>
              <w:jc w:val="center"/>
              <w:rPr>
                <w:b/>
                <w:sz w:val="28"/>
                <w:szCs w:val="28"/>
                <w:lang w:eastAsia="ru-RU"/>
              </w:rPr>
            </w:pPr>
            <w:r w:rsidRPr="00B1683D">
              <w:rPr>
                <w:b/>
                <w:sz w:val="28"/>
                <w:szCs w:val="28"/>
                <w:lang w:eastAsia="ru-RU"/>
              </w:rPr>
              <w:t xml:space="preserve">ДДН д.н. </w:t>
            </w:r>
          </w:p>
          <w:p w:rsidR="00EB1B78" w:rsidRPr="00B1683D" w:rsidRDefault="00EB1B78" w:rsidP="00B1683D">
            <w:pPr>
              <w:pStyle w:val="a4"/>
              <w:jc w:val="center"/>
              <w:rPr>
                <w:b/>
                <w:sz w:val="28"/>
                <w:szCs w:val="28"/>
              </w:rPr>
            </w:pPr>
            <w:r w:rsidRPr="00B1683D">
              <w:rPr>
                <w:b/>
                <w:sz w:val="28"/>
                <w:szCs w:val="28"/>
                <w:lang w:eastAsia="ru-RU"/>
              </w:rPr>
              <w:t>(тыс.</w:t>
            </w:r>
            <w:r w:rsidR="00B1683D">
              <w:rPr>
                <w:b/>
                <w:sz w:val="28"/>
                <w:szCs w:val="28"/>
                <w:lang w:eastAsia="ru-RU"/>
              </w:rPr>
              <w:t xml:space="preserve"> </w:t>
            </w:r>
            <w:r w:rsidRPr="00B1683D">
              <w:rPr>
                <w:b/>
                <w:sz w:val="28"/>
                <w:szCs w:val="28"/>
                <w:lang w:eastAsia="ru-RU"/>
              </w:rPr>
              <w:t>руб. в год)</w:t>
            </w:r>
          </w:p>
        </w:tc>
      </w:tr>
      <w:tr w:rsidR="00EB1B78" w:rsidRPr="002F44BA" w:rsidTr="00D059A3">
        <w:trPr>
          <w:trHeight w:val="445"/>
        </w:trPr>
        <w:tc>
          <w:tcPr>
            <w:tcW w:w="3261" w:type="dxa"/>
            <w:shd w:val="clear" w:color="auto" w:fill="auto"/>
            <w:noWrap/>
            <w:vAlign w:val="center"/>
          </w:tcPr>
          <w:p w:rsidR="00EB1B78" w:rsidRPr="002F44BA" w:rsidRDefault="00EB1B78" w:rsidP="00D059A3">
            <w:pPr>
              <w:pStyle w:val="a4"/>
              <w:jc w:val="both"/>
              <w:rPr>
                <w:sz w:val="28"/>
                <w:szCs w:val="28"/>
              </w:rPr>
            </w:pPr>
          </w:p>
        </w:tc>
        <w:tc>
          <w:tcPr>
            <w:tcW w:w="6237" w:type="dxa"/>
            <w:gridSpan w:val="2"/>
            <w:shd w:val="clear" w:color="auto" w:fill="auto"/>
            <w:vAlign w:val="center"/>
          </w:tcPr>
          <w:p w:rsidR="00EB1B78" w:rsidRPr="002F44BA" w:rsidRDefault="00EB1B78" w:rsidP="00D059A3">
            <w:pPr>
              <w:pStyle w:val="a4"/>
              <w:jc w:val="center"/>
              <w:rPr>
                <w:b/>
                <w:sz w:val="28"/>
                <w:szCs w:val="28"/>
              </w:rPr>
            </w:pPr>
            <w:r w:rsidRPr="002F44BA">
              <w:rPr>
                <w:b/>
                <w:sz w:val="28"/>
                <w:szCs w:val="28"/>
              </w:rPr>
              <w:t>2013 г.</w:t>
            </w:r>
          </w:p>
        </w:tc>
      </w:tr>
      <w:tr w:rsidR="00EB1B78" w:rsidRPr="002F44BA" w:rsidTr="00D059A3">
        <w:trPr>
          <w:trHeight w:val="283"/>
        </w:trPr>
        <w:tc>
          <w:tcPr>
            <w:tcW w:w="3261" w:type="dxa"/>
            <w:shd w:val="clear" w:color="auto" w:fill="auto"/>
            <w:noWrap/>
            <w:vAlign w:val="center"/>
          </w:tcPr>
          <w:p w:rsidR="00EB1B78" w:rsidRPr="002F44BA" w:rsidRDefault="00EB1B78" w:rsidP="00D059A3">
            <w:pPr>
              <w:pStyle w:val="a4"/>
              <w:jc w:val="both"/>
              <w:rPr>
                <w:sz w:val="28"/>
                <w:szCs w:val="28"/>
              </w:rPr>
            </w:pPr>
            <w:r w:rsidRPr="002F44BA">
              <w:rPr>
                <w:sz w:val="28"/>
                <w:szCs w:val="28"/>
              </w:rPr>
              <w:t>min</w:t>
            </w:r>
          </w:p>
        </w:tc>
        <w:tc>
          <w:tcPr>
            <w:tcW w:w="2976" w:type="dxa"/>
            <w:shd w:val="clear" w:color="auto" w:fill="auto"/>
            <w:vAlign w:val="center"/>
          </w:tcPr>
          <w:p w:rsidR="00EB1B78" w:rsidRPr="002F44BA" w:rsidRDefault="00EB1B78" w:rsidP="00D059A3">
            <w:pPr>
              <w:pStyle w:val="a4"/>
              <w:jc w:val="center"/>
              <w:rPr>
                <w:sz w:val="28"/>
                <w:szCs w:val="28"/>
              </w:rPr>
            </w:pPr>
            <w:r w:rsidRPr="002F44BA">
              <w:rPr>
                <w:sz w:val="28"/>
                <w:szCs w:val="28"/>
              </w:rPr>
              <w:t>9,87</w:t>
            </w:r>
          </w:p>
        </w:tc>
        <w:tc>
          <w:tcPr>
            <w:tcW w:w="3261" w:type="dxa"/>
            <w:shd w:val="clear" w:color="auto" w:fill="auto"/>
            <w:vAlign w:val="center"/>
          </w:tcPr>
          <w:p w:rsidR="00EB1B78" w:rsidRPr="002F44BA" w:rsidRDefault="00EB1B78" w:rsidP="00D059A3">
            <w:pPr>
              <w:pStyle w:val="a4"/>
              <w:jc w:val="center"/>
              <w:rPr>
                <w:sz w:val="28"/>
                <w:szCs w:val="28"/>
              </w:rPr>
            </w:pPr>
            <w:r w:rsidRPr="002F44BA">
              <w:rPr>
                <w:sz w:val="28"/>
                <w:szCs w:val="28"/>
              </w:rPr>
              <w:t>135,73</w:t>
            </w:r>
          </w:p>
        </w:tc>
      </w:tr>
      <w:tr w:rsidR="00EB1B78" w:rsidRPr="002F44BA" w:rsidTr="00D059A3">
        <w:trPr>
          <w:trHeight w:val="283"/>
        </w:trPr>
        <w:tc>
          <w:tcPr>
            <w:tcW w:w="3261" w:type="dxa"/>
            <w:shd w:val="clear" w:color="auto" w:fill="auto"/>
            <w:noWrap/>
            <w:vAlign w:val="center"/>
          </w:tcPr>
          <w:p w:rsidR="00EB1B78" w:rsidRPr="002F44BA" w:rsidRDefault="00EB1B78" w:rsidP="00D059A3">
            <w:pPr>
              <w:pStyle w:val="a4"/>
              <w:jc w:val="both"/>
              <w:rPr>
                <w:sz w:val="28"/>
                <w:szCs w:val="28"/>
              </w:rPr>
            </w:pPr>
            <w:r w:rsidRPr="002F44BA">
              <w:rPr>
                <w:sz w:val="28"/>
                <w:szCs w:val="28"/>
              </w:rPr>
              <w:t>max</w:t>
            </w:r>
          </w:p>
        </w:tc>
        <w:tc>
          <w:tcPr>
            <w:tcW w:w="2976" w:type="dxa"/>
            <w:shd w:val="clear" w:color="auto" w:fill="auto"/>
            <w:vAlign w:val="center"/>
          </w:tcPr>
          <w:p w:rsidR="00EB1B78" w:rsidRPr="002F44BA" w:rsidRDefault="00EB1B78" w:rsidP="00D059A3">
            <w:pPr>
              <w:pStyle w:val="a4"/>
              <w:jc w:val="center"/>
              <w:rPr>
                <w:sz w:val="28"/>
                <w:szCs w:val="28"/>
              </w:rPr>
            </w:pPr>
            <w:r w:rsidRPr="002F44BA">
              <w:rPr>
                <w:sz w:val="28"/>
                <w:szCs w:val="28"/>
              </w:rPr>
              <w:t>157,93</w:t>
            </w:r>
          </w:p>
        </w:tc>
        <w:tc>
          <w:tcPr>
            <w:tcW w:w="3261" w:type="dxa"/>
            <w:shd w:val="clear" w:color="auto" w:fill="auto"/>
            <w:vAlign w:val="center"/>
          </w:tcPr>
          <w:p w:rsidR="00EB1B78" w:rsidRPr="002F44BA" w:rsidRDefault="00EB1B78" w:rsidP="00D059A3">
            <w:pPr>
              <w:pStyle w:val="a4"/>
              <w:jc w:val="center"/>
              <w:rPr>
                <w:sz w:val="28"/>
                <w:szCs w:val="28"/>
              </w:rPr>
            </w:pPr>
            <w:r w:rsidRPr="002F44BA">
              <w:rPr>
                <w:sz w:val="28"/>
                <w:szCs w:val="28"/>
              </w:rPr>
              <w:t>795,31</w:t>
            </w:r>
          </w:p>
        </w:tc>
      </w:tr>
      <w:tr w:rsidR="00EB1B78" w:rsidRPr="002F44BA" w:rsidTr="00D059A3">
        <w:trPr>
          <w:trHeight w:val="283"/>
        </w:trPr>
        <w:tc>
          <w:tcPr>
            <w:tcW w:w="3261" w:type="dxa"/>
            <w:shd w:val="clear" w:color="auto" w:fill="auto"/>
            <w:noWrap/>
            <w:vAlign w:val="center"/>
          </w:tcPr>
          <w:p w:rsidR="00EB1B78" w:rsidRPr="002F44BA" w:rsidRDefault="00EB1B78" w:rsidP="00D059A3">
            <w:pPr>
              <w:pStyle w:val="a4"/>
              <w:jc w:val="both"/>
              <w:rPr>
                <w:sz w:val="28"/>
                <w:szCs w:val="28"/>
              </w:rPr>
            </w:pPr>
            <w:r w:rsidRPr="002F44BA">
              <w:rPr>
                <w:sz w:val="28"/>
                <w:szCs w:val="28"/>
              </w:rPr>
              <w:t>max / min</w:t>
            </w:r>
          </w:p>
        </w:tc>
        <w:tc>
          <w:tcPr>
            <w:tcW w:w="2976" w:type="dxa"/>
            <w:shd w:val="clear" w:color="auto" w:fill="auto"/>
            <w:vAlign w:val="center"/>
          </w:tcPr>
          <w:p w:rsidR="00EB1B78" w:rsidRPr="002F44BA" w:rsidRDefault="00EB1B78" w:rsidP="00D059A3">
            <w:pPr>
              <w:pStyle w:val="a4"/>
              <w:jc w:val="center"/>
              <w:rPr>
                <w:sz w:val="28"/>
                <w:szCs w:val="28"/>
              </w:rPr>
            </w:pPr>
            <w:r w:rsidRPr="002F44BA">
              <w:rPr>
                <w:sz w:val="28"/>
                <w:szCs w:val="28"/>
              </w:rPr>
              <w:t>16,0</w:t>
            </w:r>
          </w:p>
        </w:tc>
        <w:tc>
          <w:tcPr>
            <w:tcW w:w="3261" w:type="dxa"/>
            <w:shd w:val="clear" w:color="auto" w:fill="auto"/>
            <w:vAlign w:val="center"/>
          </w:tcPr>
          <w:p w:rsidR="00EB1B78" w:rsidRPr="002F44BA" w:rsidRDefault="00EB1B78" w:rsidP="00D059A3">
            <w:pPr>
              <w:pStyle w:val="a4"/>
              <w:jc w:val="center"/>
              <w:rPr>
                <w:sz w:val="28"/>
                <w:szCs w:val="28"/>
              </w:rPr>
            </w:pPr>
            <w:r w:rsidRPr="002F44BA">
              <w:rPr>
                <w:sz w:val="28"/>
                <w:szCs w:val="28"/>
              </w:rPr>
              <w:t>5,9</w:t>
            </w:r>
          </w:p>
        </w:tc>
      </w:tr>
      <w:tr w:rsidR="00EB1B78" w:rsidRPr="002F44BA" w:rsidTr="00D059A3">
        <w:trPr>
          <w:trHeight w:val="283"/>
        </w:trPr>
        <w:tc>
          <w:tcPr>
            <w:tcW w:w="3261" w:type="dxa"/>
            <w:shd w:val="clear" w:color="auto" w:fill="auto"/>
            <w:noWrap/>
            <w:vAlign w:val="center"/>
          </w:tcPr>
          <w:p w:rsidR="00EB1B78" w:rsidRPr="002F44BA" w:rsidRDefault="00B1683D" w:rsidP="00D059A3">
            <w:pPr>
              <w:pStyle w:val="a4"/>
              <w:jc w:val="both"/>
              <w:rPr>
                <w:sz w:val="28"/>
                <w:szCs w:val="28"/>
              </w:rPr>
            </w:pPr>
            <w:r>
              <w:rPr>
                <w:sz w:val="28"/>
                <w:szCs w:val="28"/>
              </w:rPr>
              <w:t>с</w:t>
            </w:r>
            <w:r w:rsidR="00EB1B78" w:rsidRPr="002F44BA">
              <w:rPr>
                <w:sz w:val="28"/>
                <w:szCs w:val="28"/>
              </w:rPr>
              <w:t>реднее значение</w:t>
            </w:r>
          </w:p>
        </w:tc>
        <w:tc>
          <w:tcPr>
            <w:tcW w:w="2976" w:type="dxa"/>
            <w:shd w:val="clear" w:color="auto" w:fill="auto"/>
            <w:vAlign w:val="center"/>
          </w:tcPr>
          <w:p w:rsidR="00EB1B78" w:rsidRPr="002F44BA" w:rsidRDefault="00EB1B78" w:rsidP="00D059A3">
            <w:pPr>
              <w:pStyle w:val="a4"/>
              <w:jc w:val="center"/>
              <w:rPr>
                <w:sz w:val="28"/>
                <w:szCs w:val="28"/>
              </w:rPr>
            </w:pPr>
            <w:r w:rsidRPr="002F44BA">
              <w:rPr>
                <w:sz w:val="28"/>
                <w:szCs w:val="28"/>
              </w:rPr>
              <w:t>66,70</w:t>
            </w:r>
          </w:p>
        </w:tc>
        <w:tc>
          <w:tcPr>
            <w:tcW w:w="3261" w:type="dxa"/>
            <w:shd w:val="clear" w:color="auto" w:fill="auto"/>
            <w:vAlign w:val="center"/>
          </w:tcPr>
          <w:p w:rsidR="00EB1B78" w:rsidRPr="002F44BA" w:rsidRDefault="00EB1B78" w:rsidP="00D059A3">
            <w:pPr>
              <w:pStyle w:val="a4"/>
              <w:jc w:val="center"/>
              <w:rPr>
                <w:sz w:val="28"/>
                <w:szCs w:val="28"/>
              </w:rPr>
            </w:pPr>
            <w:r w:rsidRPr="002F44BA">
              <w:rPr>
                <w:sz w:val="28"/>
                <w:szCs w:val="28"/>
              </w:rPr>
              <w:t>283,11</w:t>
            </w:r>
          </w:p>
        </w:tc>
      </w:tr>
      <w:tr w:rsidR="00EB1B78" w:rsidRPr="002F44BA" w:rsidTr="00D059A3">
        <w:trPr>
          <w:trHeight w:val="283"/>
        </w:trPr>
        <w:tc>
          <w:tcPr>
            <w:tcW w:w="3261" w:type="dxa"/>
            <w:shd w:val="clear" w:color="auto" w:fill="auto"/>
            <w:noWrap/>
            <w:vAlign w:val="center"/>
          </w:tcPr>
          <w:p w:rsidR="00EB1B78" w:rsidRPr="002F44BA" w:rsidRDefault="00B1683D" w:rsidP="00D059A3">
            <w:pPr>
              <w:pStyle w:val="a4"/>
              <w:jc w:val="both"/>
              <w:rPr>
                <w:sz w:val="28"/>
                <w:szCs w:val="28"/>
              </w:rPr>
            </w:pPr>
            <w:r>
              <w:rPr>
                <w:sz w:val="28"/>
                <w:szCs w:val="28"/>
              </w:rPr>
              <w:t>к</w:t>
            </w:r>
            <w:r w:rsidR="00EB1B78" w:rsidRPr="002F44BA">
              <w:rPr>
                <w:sz w:val="28"/>
                <w:szCs w:val="28"/>
              </w:rPr>
              <w:t>оэффициент вариации (%)</w:t>
            </w:r>
          </w:p>
        </w:tc>
        <w:tc>
          <w:tcPr>
            <w:tcW w:w="2976" w:type="dxa"/>
            <w:shd w:val="clear" w:color="auto" w:fill="auto"/>
            <w:vAlign w:val="center"/>
          </w:tcPr>
          <w:p w:rsidR="00EB1B78" w:rsidRPr="002F44BA" w:rsidRDefault="00EB1B78" w:rsidP="00D059A3">
            <w:pPr>
              <w:pStyle w:val="a4"/>
              <w:jc w:val="center"/>
              <w:rPr>
                <w:sz w:val="28"/>
                <w:szCs w:val="28"/>
              </w:rPr>
            </w:pPr>
            <w:r w:rsidRPr="002F44BA">
              <w:rPr>
                <w:sz w:val="28"/>
                <w:szCs w:val="28"/>
              </w:rPr>
              <w:t>37,2</w:t>
            </w:r>
          </w:p>
        </w:tc>
        <w:tc>
          <w:tcPr>
            <w:tcW w:w="3261" w:type="dxa"/>
            <w:shd w:val="clear" w:color="auto" w:fill="auto"/>
            <w:vAlign w:val="center"/>
          </w:tcPr>
          <w:p w:rsidR="00EB1B78" w:rsidRPr="002F44BA" w:rsidRDefault="00EB1B78" w:rsidP="00D059A3">
            <w:pPr>
              <w:pStyle w:val="a4"/>
              <w:jc w:val="center"/>
              <w:rPr>
                <w:sz w:val="28"/>
                <w:szCs w:val="28"/>
              </w:rPr>
            </w:pPr>
            <w:r w:rsidRPr="002F44BA">
              <w:rPr>
                <w:sz w:val="28"/>
                <w:szCs w:val="28"/>
              </w:rPr>
              <w:t>41,6</w:t>
            </w:r>
          </w:p>
        </w:tc>
      </w:tr>
      <w:tr w:rsidR="00EB1B78" w:rsidRPr="002F44BA" w:rsidTr="00D059A3">
        <w:trPr>
          <w:trHeight w:val="511"/>
        </w:trPr>
        <w:tc>
          <w:tcPr>
            <w:tcW w:w="3261" w:type="dxa"/>
            <w:shd w:val="clear" w:color="auto" w:fill="auto"/>
            <w:noWrap/>
            <w:vAlign w:val="center"/>
          </w:tcPr>
          <w:p w:rsidR="00EB1B78" w:rsidRPr="002F44BA" w:rsidRDefault="00EB1B78" w:rsidP="00D059A3">
            <w:pPr>
              <w:pStyle w:val="a4"/>
              <w:jc w:val="both"/>
              <w:rPr>
                <w:bCs/>
                <w:sz w:val="28"/>
                <w:szCs w:val="28"/>
              </w:rPr>
            </w:pPr>
          </w:p>
        </w:tc>
        <w:tc>
          <w:tcPr>
            <w:tcW w:w="6237" w:type="dxa"/>
            <w:gridSpan w:val="2"/>
            <w:shd w:val="clear" w:color="auto" w:fill="auto"/>
            <w:vAlign w:val="center"/>
          </w:tcPr>
          <w:p w:rsidR="00EB1B78" w:rsidRPr="002F44BA" w:rsidRDefault="00EB1B78" w:rsidP="005539A8">
            <w:pPr>
              <w:pStyle w:val="a4"/>
              <w:jc w:val="center"/>
              <w:rPr>
                <w:b/>
                <w:sz w:val="28"/>
                <w:szCs w:val="28"/>
              </w:rPr>
            </w:pPr>
            <w:r w:rsidRPr="002F44BA">
              <w:rPr>
                <w:b/>
                <w:sz w:val="28"/>
                <w:szCs w:val="28"/>
              </w:rPr>
              <w:t>2014</w:t>
            </w:r>
            <w:r w:rsidR="005539A8">
              <w:rPr>
                <w:b/>
                <w:sz w:val="28"/>
                <w:szCs w:val="28"/>
              </w:rPr>
              <w:t xml:space="preserve"> </w:t>
            </w:r>
            <w:r w:rsidRPr="002F44BA">
              <w:rPr>
                <w:b/>
                <w:sz w:val="28"/>
                <w:szCs w:val="28"/>
              </w:rPr>
              <w:t>г.</w:t>
            </w:r>
          </w:p>
        </w:tc>
      </w:tr>
      <w:tr w:rsidR="00EB1B78" w:rsidRPr="002F44BA" w:rsidTr="00D059A3">
        <w:trPr>
          <w:trHeight w:val="283"/>
        </w:trPr>
        <w:tc>
          <w:tcPr>
            <w:tcW w:w="3261" w:type="dxa"/>
            <w:shd w:val="clear" w:color="auto" w:fill="auto"/>
            <w:noWrap/>
            <w:vAlign w:val="center"/>
          </w:tcPr>
          <w:p w:rsidR="00EB1B78" w:rsidRPr="002F44BA" w:rsidRDefault="00EB1B78" w:rsidP="00D059A3">
            <w:pPr>
              <w:pStyle w:val="a4"/>
              <w:jc w:val="both"/>
              <w:rPr>
                <w:sz w:val="28"/>
                <w:szCs w:val="28"/>
              </w:rPr>
            </w:pPr>
            <w:r w:rsidRPr="002F44BA">
              <w:rPr>
                <w:sz w:val="28"/>
                <w:szCs w:val="28"/>
              </w:rPr>
              <w:t>min</w:t>
            </w:r>
          </w:p>
        </w:tc>
        <w:tc>
          <w:tcPr>
            <w:tcW w:w="2976" w:type="dxa"/>
            <w:shd w:val="clear" w:color="auto" w:fill="auto"/>
            <w:vAlign w:val="center"/>
          </w:tcPr>
          <w:p w:rsidR="00EB1B78" w:rsidRPr="002F44BA" w:rsidRDefault="00EB1B78" w:rsidP="00D059A3">
            <w:pPr>
              <w:pStyle w:val="a4"/>
              <w:jc w:val="center"/>
              <w:rPr>
                <w:sz w:val="28"/>
                <w:szCs w:val="28"/>
              </w:rPr>
            </w:pPr>
            <w:r w:rsidRPr="002F44BA">
              <w:rPr>
                <w:sz w:val="28"/>
                <w:szCs w:val="28"/>
              </w:rPr>
              <w:t>9,50</w:t>
            </w:r>
          </w:p>
        </w:tc>
        <w:tc>
          <w:tcPr>
            <w:tcW w:w="3261" w:type="dxa"/>
            <w:shd w:val="clear" w:color="auto" w:fill="auto"/>
            <w:vAlign w:val="center"/>
          </w:tcPr>
          <w:p w:rsidR="00EB1B78" w:rsidRPr="002F44BA" w:rsidRDefault="00EB1B78" w:rsidP="00D059A3">
            <w:pPr>
              <w:pStyle w:val="a4"/>
              <w:jc w:val="center"/>
              <w:rPr>
                <w:sz w:val="28"/>
                <w:szCs w:val="28"/>
              </w:rPr>
            </w:pPr>
            <w:r w:rsidRPr="002F44BA">
              <w:rPr>
                <w:sz w:val="28"/>
                <w:szCs w:val="28"/>
              </w:rPr>
              <w:t>148,78</w:t>
            </w:r>
          </w:p>
        </w:tc>
      </w:tr>
      <w:tr w:rsidR="00EB1B78" w:rsidRPr="002F44BA" w:rsidTr="00D059A3">
        <w:trPr>
          <w:trHeight w:val="283"/>
        </w:trPr>
        <w:tc>
          <w:tcPr>
            <w:tcW w:w="3261" w:type="dxa"/>
            <w:shd w:val="clear" w:color="auto" w:fill="auto"/>
            <w:noWrap/>
            <w:vAlign w:val="center"/>
          </w:tcPr>
          <w:p w:rsidR="00EB1B78" w:rsidRPr="002F44BA" w:rsidRDefault="00EB1B78" w:rsidP="00D059A3">
            <w:pPr>
              <w:pStyle w:val="a4"/>
              <w:jc w:val="both"/>
              <w:rPr>
                <w:sz w:val="28"/>
                <w:szCs w:val="28"/>
              </w:rPr>
            </w:pPr>
            <w:r w:rsidRPr="002F44BA">
              <w:rPr>
                <w:sz w:val="28"/>
                <w:szCs w:val="28"/>
              </w:rPr>
              <w:t>max</w:t>
            </w:r>
          </w:p>
        </w:tc>
        <w:tc>
          <w:tcPr>
            <w:tcW w:w="2976" w:type="dxa"/>
            <w:shd w:val="clear" w:color="auto" w:fill="auto"/>
            <w:vAlign w:val="center"/>
          </w:tcPr>
          <w:p w:rsidR="00EB1B78" w:rsidRPr="002F44BA" w:rsidRDefault="00EB1B78" w:rsidP="00D059A3">
            <w:pPr>
              <w:pStyle w:val="a4"/>
              <w:jc w:val="center"/>
              <w:rPr>
                <w:sz w:val="28"/>
                <w:szCs w:val="28"/>
              </w:rPr>
            </w:pPr>
            <w:r w:rsidRPr="002F44BA">
              <w:rPr>
                <w:sz w:val="28"/>
                <w:szCs w:val="28"/>
              </w:rPr>
              <w:t>176,16</w:t>
            </w:r>
          </w:p>
        </w:tc>
        <w:tc>
          <w:tcPr>
            <w:tcW w:w="3261" w:type="dxa"/>
            <w:shd w:val="clear" w:color="auto" w:fill="auto"/>
            <w:vAlign w:val="center"/>
          </w:tcPr>
          <w:p w:rsidR="00EB1B78" w:rsidRPr="002F44BA" w:rsidRDefault="00EB1B78" w:rsidP="00D059A3">
            <w:pPr>
              <w:pStyle w:val="a4"/>
              <w:jc w:val="center"/>
              <w:rPr>
                <w:sz w:val="28"/>
                <w:szCs w:val="28"/>
              </w:rPr>
            </w:pPr>
            <w:r w:rsidRPr="002F44BA">
              <w:rPr>
                <w:sz w:val="28"/>
                <w:szCs w:val="28"/>
              </w:rPr>
              <w:t>797,89</w:t>
            </w:r>
          </w:p>
        </w:tc>
      </w:tr>
      <w:tr w:rsidR="00EB1B78" w:rsidRPr="002F44BA" w:rsidTr="00D059A3">
        <w:trPr>
          <w:trHeight w:val="283"/>
        </w:trPr>
        <w:tc>
          <w:tcPr>
            <w:tcW w:w="3261" w:type="dxa"/>
            <w:shd w:val="clear" w:color="auto" w:fill="auto"/>
            <w:noWrap/>
            <w:vAlign w:val="center"/>
          </w:tcPr>
          <w:p w:rsidR="00EB1B78" w:rsidRPr="002F44BA" w:rsidRDefault="00EB1B78" w:rsidP="00D059A3">
            <w:pPr>
              <w:pStyle w:val="a4"/>
              <w:jc w:val="both"/>
              <w:rPr>
                <w:sz w:val="28"/>
                <w:szCs w:val="28"/>
              </w:rPr>
            </w:pPr>
            <w:r w:rsidRPr="002F44BA">
              <w:rPr>
                <w:sz w:val="28"/>
                <w:szCs w:val="28"/>
              </w:rPr>
              <w:t>max / min</w:t>
            </w:r>
          </w:p>
        </w:tc>
        <w:tc>
          <w:tcPr>
            <w:tcW w:w="2976" w:type="dxa"/>
            <w:shd w:val="clear" w:color="auto" w:fill="auto"/>
            <w:vAlign w:val="center"/>
          </w:tcPr>
          <w:p w:rsidR="00EB1B78" w:rsidRPr="002F44BA" w:rsidRDefault="00EB1B78" w:rsidP="00D059A3">
            <w:pPr>
              <w:pStyle w:val="a4"/>
              <w:jc w:val="center"/>
              <w:rPr>
                <w:sz w:val="28"/>
                <w:szCs w:val="28"/>
              </w:rPr>
            </w:pPr>
            <w:r w:rsidRPr="002F44BA">
              <w:rPr>
                <w:sz w:val="28"/>
                <w:szCs w:val="28"/>
              </w:rPr>
              <w:t>18,5</w:t>
            </w:r>
          </w:p>
        </w:tc>
        <w:tc>
          <w:tcPr>
            <w:tcW w:w="3261" w:type="dxa"/>
            <w:shd w:val="clear" w:color="auto" w:fill="auto"/>
            <w:vAlign w:val="center"/>
          </w:tcPr>
          <w:p w:rsidR="00EB1B78" w:rsidRPr="002F44BA" w:rsidRDefault="00EB1B78" w:rsidP="00D059A3">
            <w:pPr>
              <w:pStyle w:val="a4"/>
              <w:jc w:val="center"/>
              <w:rPr>
                <w:sz w:val="28"/>
                <w:szCs w:val="28"/>
              </w:rPr>
            </w:pPr>
            <w:r w:rsidRPr="002F44BA">
              <w:rPr>
                <w:sz w:val="28"/>
                <w:szCs w:val="28"/>
              </w:rPr>
              <w:t>5,4</w:t>
            </w:r>
          </w:p>
        </w:tc>
      </w:tr>
      <w:tr w:rsidR="00EB1B78" w:rsidRPr="002F44BA" w:rsidTr="00D059A3">
        <w:trPr>
          <w:trHeight w:val="283"/>
        </w:trPr>
        <w:tc>
          <w:tcPr>
            <w:tcW w:w="3261" w:type="dxa"/>
            <w:shd w:val="clear" w:color="auto" w:fill="auto"/>
            <w:noWrap/>
            <w:vAlign w:val="center"/>
          </w:tcPr>
          <w:p w:rsidR="00EB1B78" w:rsidRPr="002F44BA" w:rsidRDefault="005539A8" w:rsidP="00D059A3">
            <w:pPr>
              <w:pStyle w:val="a4"/>
              <w:jc w:val="both"/>
              <w:rPr>
                <w:sz w:val="28"/>
                <w:szCs w:val="28"/>
              </w:rPr>
            </w:pPr>
            <w:r>
              <w:rPr>
                <w:sz w:val="28"/>
                <w:szCs w:val="28"/>
              </w:rPr>
              <w:t>с</w:t>
            </w:r>
            <w:r w:rsidR="00EB1B78" w:rsidRPr="002F44BA">
              <w:rPr>
                <w:sz w:val="28"/>
                <w:szCs w:val="28"/>
              </w:rPr>
              <w:t>реднее значение</w:t>
            </w:r>
          </w:p>
        </w:tc>
        <w:tc>
          <w:tcPr>
            <w:tcW w:w="2976" w:type="dxa"/>
            <w:shd w:val="clear" w:color="auto" w:fill="auto"/>
            <w:vAlign w:val="center"/>
          </w:tcPr>
          <w:p w:rsidR="00EB1B78" w:rsidRPr="002F44BA" w:rsidRDefault="00EB1B78" w:rsidP="00D059A3">
            <w:pPr>
              <w:pStyle w:val="a4"/>
              <w:jc w:val="center"/>
              <w:rPr>
                <w:sz w:val="28"/>
                <w:szCs w:val="28"/>
              </w:rPr>
            </w:pPr>
            <w:r w:rsidRPr="002F44BA">
              <w:rPr>
                <w:sz w:val="28"/>
                <w:szCs w:val="28"/>
              </w:rPr>
              <w:t>75,60</w:t>
            </w:r>
          </w:p>
        </w:tc>
        <w:tc>
          <w:tcPr>
            <w:tcW w:w="3261" w:type="dxa"/>
            <w:shd w:val="clear" w:color="auto" w:fill="auto"/>
            <w:vAlign w:val="center"/>
          </w:tcPr>
          <w:p w:rsidR="00EB1B78" w:rsidRPr="002F44BA" w:rsidRDefault="00EB1B78" w:rsidP="00D059A3">
            <w:pPr>
              <w:pStyle w:val="a4"/>
              <w:jc w:val="center"/>
              <w:rPr>
                <w:sz w:val="28"/>
                <w:szCs w:val="28"/>
              </w:rPr>
            </w:pPr>
            <w:r w:rsidRPr="002F44BA">
              <w:rPr>
                <w:sz w:val="28"/>
                <w:szCs w:val="28"/>
              </w:rPr>
              <w:t>306,66</w:t>
            </w:r>
          </w:p>
        </w:tc>
      </w:tr>
      <w:tr w:rsidR="00EB1B78" w:rsidRPr="002F44BA" w:rsidTr="00D059A3">
        <w:trPr>
          <w:trHeight w:val="283"/>
        </w:trPr>
        <w:tc>
          <w:tcPr>
            <w:tcW w:w="3261" w:type="dxa"/>
            <w:shd w:val="clear" w:color="auto" w:fill="auto"/>
            <w:noWrap/>
            <w:vAlign w:val="center"/>
          </w:tcPr>
          <w:p w:rsidR="00EB1B78" w:rsidRPr="002F44BA" w:rsidRDefault="005539A8" w:rsidP="00D059A3">
            <w:pPr>
              <w:pStyle w:val="a4"/>
              <w:jc w:val="both"/>
              <w:rPr>
                <w:sz w:val="28"/>
                <w:szCs w:val="28"/>
              </w:rPr>
            </w:pPr>
            <w:r>
              <w:rPr>
                <w:sz w:val="28"/>
                <w:szCs w:val="28"/>
              </w:rPr>
              <w:t>к</w:t>
            </w:r>
            <w:r w:rsidR="00EB1B78" w:rsidRPr="002F44BA">
              <w:rPr>
                <w:sz w:val="28"/>
                <w:szCs w:val="28"/>
              </w:rPr>
              <w:t xml:space="preserve">оэффициент вариации </w:t>
            </w:r>
            <w:r w:rsidR="00EB1B78" w:rsidRPr="002F44BA">
              <w:rPr>
                <w:sz w:val="28"/>
                <w:szCs w:val="28"/>
              </w:rPr>
              <w:lastRenderedPageBreak/>
              <w:t>(%)</w:t>
            </w:r>
          </w:p>
        </w:tc>
        <w:tc>
          <w:tcPr>
            <w:tcW w:w="2976" w:type="dxa"/>
            <w:shd w:val="clear" w:color="auto" w:fill="auto"/>
            <w:vAlign w:val="center"/>
          </w:tcPr>
          <w:p w:rsidR="00EB1B78" w:rsidRPr="002F44BA" w:rsidRDefault="00EB1B78" w:rsidP="00D059A3">
            <w:pPr>
              <w:pStyle w:val="a4"/>
              <w:jc w:val="center"/>
              <w:rPr>
                <w:sz w:val="28"/>
                <w:szCs w:val="28"/>
              </w:rPr>
            </w:pPr>
            <w:r w:rsidRPr="002F44BA">
              <w:rPr>
                <w:sz w:val="28"/>
                <w:szCs w:val="28"/>
              </w:rPr>
              <w:lastRenderedPageBreak/>
              <w:t>36,6</w:t>
            </w:r>
          </w:p>
        </w:tc>
        <w:tc>
          <w:tcPr>
            <w:tcW w:w="3261" w:type="dxa"/>
            <w:shd w:val="clear" w:color="auto" w:fill="auto"/>
            <w:vAlign w:val="center"/>
          </w:tcPr>
          <w:p w:rsidR="00EB1B78" w:rsidRPr="002F44BA" w:rsidRDefault="00EB1B78" w:rsidP="00D059A3">
            <w:pPr>
              <w:pStyle w:val="a4"/>
              <w:jc w:val="center"/>
              <w:rPr>
                <w:sz w:val="28"/>
                <w:szCs w:val="28"/>
              </w:rPr>
            </w:pPr>
            <w:r w:rsidRPr="002F44BA">
              <w:rPr>
                <w:sz w:val="28"/>
                <w:szCs w:val="28"/>
              </w:rPr>
              <w:t>39,1</w:t>
            </w:r>
          </w:p>
        </w:tc>
      </w:tr>
      <w:tr w:rsidR="00EB1B78" w:rsidRPr="002F44BA" w:rsidTr="00D059A3">
        <w:trPr>
          <w:trHeight w:val="283"/>
        </w:trPr>
        <w:tc>
          <w:tcPr>
            <w:tcW w:w="3261" w:type="dxa"/>
            <w:shd w:val="clear" w:color="auto" w:fill="auto"/>
            <w:noWrap/>
            <w:vAlign w:val="center"/>
          </w:tcPr>
          <w:p w:rsidR="00EB1B78" w:rsidRPr="002F44BA" w:rsidRDefault="00EB1B78" w:rsidP="00D059A3">
            <w:pPr>
              <w:pStyle w:val="a4"/>
              <w:jc w:val="both"/>
              <w:rPr>
                <w:sz w:val="28"/>
                <w:szCs w:val="28"/>
              </w:rPr>
            </w:pPr>
          </w:p>
        </w:tc>
        <w:tc>
          <w:tcPr>
            <w:tcW w:w="6237" w:type="dxa"/>
            <w:gridSpan w:val="2"/>
            <w:shd w:val="clear" w:color="auto" w:fill="auto"/>
            <w:vAlign w:val="center"/>
          </w:tcPr>
          <w:p w:rsidR="00EB1B78" w:rsidRPr="002F44BA" w:rsidRDefault="00EB1B78" w:rsidP="00D059A3">
            <w:pPr>
              <w:pStyle w:val="a4"/>
              <w:jc w:val="center"/>
              <w:rPr>
                <w:b/>
                <w:sz w:val="28"/>
                <w:szCs w:val="28"/>
              </w:rPr>
            </w:pPr>
            <w:r w:rsidRPr="002F44BA">
              <w:rPr>
                <w:b/>
                <w:sz w:val="28"/>
                <w:szCs w:val="28"/>
              </w:rPr>
              <w:t>2015 г.</w:t>
            </w:r>
          </w:p>
        </w:tc>
      </w:tr>
      <w:tr w:rsidR="00EB1B78" w:rsidRPr="002F44BA" w:rsidTr="00D059A3">
        <w:trPr>
          <w:trHeight w:val="283"/>
        </w:trPr>
        <w:tc>
          <w:tcPr>
            <w:tcW w:w="3261" w:type="dxa"/>
            <w:shd w:val="clear" w:color="auto" w:fill="auto"/>
            <w:noWrap/>
            <w:vAlign w:val="center"/>
          </w:tcPr>
          <w:p w:rsidR="00EB1B78" w:rsidRPr="002F44BA" w:rsidRDefault="00EB1B78" w:rsidP="00D059A3">
            <w:pPr>
              <w:pStyle w:val="a4"/>
              <w:jc w:val="both"/>
              <w:rPr>
                <w:sz w:val="28"/>
                <w:szCs w:val="28"/>
              </w:rPr>
            </w:pPr>
            <w:r w:rsidRPr="002F44BA">
              <w:rPr>
                <w:sz w:val="28"/>
                <w:szCs w:val="28"/>
              </w:rPr>
              <w:t>min</w:t>
            </w:r>
          </w:p>
        </w:tc>
        <w:tc>
          <w:tcPr>
            <w:tcW w:w="2976" w:type="dxa"/>
            <w:shd w:val="clear" w:color="auto" w:fill="auto"/>
            <w:vAlign w:val="center"/>
          </w:tcPr>
          <w:p w:rsidR="00EB1B78" w:rsidRPr="002F44BA" w:rsidRDefault="00EB1B78" w:rsidP="00D059A3">
            <w:pPr>
              <w:pStyle w:val="a4"/>
              <w:jc w:val="center"/>
              <w:rPr>
                <w:sz w:val="28"/>
                <w:szCs w:val="28"/>
              </w:rPr>
            </w:pPr>
            <w:r w:rsidRPr="002F44BA">
              <w:rPr>
                <w:sz w:val="28"/>
                <w:szCs w:val="28"/>
              </w:rPr>
              <w:t>8,30</w:t>
            </w:r>
          </w:p>
        </w:tc>
        <w:tc>
          <w:tcPr>
            <w:tcW w:w="3261" w:type="dxa"/>
            <w:shd w:val="clear" w:color="auto" w:fill="auto"/>
            <w:vAlign w:val="bottom"/>
          </w:tcPr>
          <w:p w:rsidR="00EB1B78" w:rsidRPr="002F44BA" w:rsidRDefault="00EB1B78" w:rsidP="00D059A3">
            <w:pPr>
              <w:pStyle w:val="a4"/>
              <w:jc w:val="center"/>
              <w:rPr>
                <w:sz w:val="28"/>
                <w:szCs w:val="28"/>
              </w:rPr>
            </w:pPr>
            <w:r w:rsidRPr="002F44BA">
              <w:rPr>
                <w:sz w:val="28"/>
                <w:szCs w:val="28"/>
              </w:rPr>
              <w:t>160,04</w:t>
            </w:r>
          </w:p>
        </w:tc>
      </w:tr>
      <w:tr w:rsidR="00EB1B78" w:rsidRPr="002F44BA" w:rsidTr="00D059A3">
        <w:trPr>
          <w:trHeight w:val="283"/>
        </w:trPr>
        <w:tc>
          <w:tcPr>
            <w:tcW w:w="3261" w:type="dxa"/>
            <w:shd w:val="clear" w:color="auto" w:fill="auto"/>
            <w:noWrap/>
            <w:vAlign w:val="center"/>
          </w:tcPr>
          <w:p w:rsidR="00EB1B78" w:rsidRPr="002F44BA" w:rsidRDefault="00EB1B78" w:rsidP="00D059A3">
            <w:pPr>
              <w:pStyle w:val="a4"/>
              <w:jc w:val="both"/>
              <w:rPr>
                <w:sz w:val="28"/>
                <w:szCs w:val="28"/>
              </w:rPr>
            </w:pPr>
            <w:r w:rsidRPr="002F44BA">
              <w:rPr>
                <w:sz w:val="28"/>
                <w:szCs w:val="28"/>
              </w:rPr>
              <w:t>max</w:t>
            </w:r>
          </w:p>
        </w:tc>
        <w:tc>
          <w:tcPr>
            <w:tcW w:w="2976" w:type="dxa"/>
            <w:shd w:val="clear" w:color="auto" w:fill="auto"/>
            <w:vAlign w:val="center"/>
          </w:tcPr>
          <w:p w:rsidR="00EB1B78" w:rsidRPr="002F44BA" w:rsidRDefault="00EB1B78" w:rsidP="00D059A3">
            <w:pPr>
              <w:pStyle w:val="a4"/>
              <w:jc w:val="center"/>
              <w:rPr>
                <w:sz w:val="28"/>
                <w:szCs w:val="28"/>
              </w:rPr>
            </w:pPr>
            <w:r w:rsidRPr="002F44BA">
              <w:rPr>
                <w:sz w:val="28"/>
                <w:szCs w:val="28"/>
              </w:rPr>
              <w:t>176,14</w:t>
            </w:r>
          </w:p>
        </w:tc>
        <w:tc>
          <w:tcPr>
            <w:tcW w:w="3261" w:type="dxa"/>
            <w:shd w:val="clear" w:color="auto" w:fill="auto"/>
            <w:vAlign w:val="bottom"/>
          </w:tcPr>
          <w:p w:rsidR="00EB1B78" w:rsidRPr="002F44BA" w:rsidRDefault="00EB1B78" w:rsidP="00D059A3">
            <w:pPr>
              <w:pStyle w:val="a4"/>
              <w:jc w:val="center"/>
              <w:rPr>
                <w:sz w:val="28"/>
                <w:szCs w:val="28"/>
              </w:rPr>
            </w:pPr>
            <w:r w:rsidRPr="002F44BA">
              <w:rPr>
                <w:sz w:val="28"/>
                <w:szCs w:val="28"/>
              </w:rPr>
              <w:t>852,86</w:t>
            </w:r>
          </w:p>
        </w:tc>
      </w:tr>
      <w:tr w:rsidR="00EB1B78" w:rsidRPr="002F44BA" w:rsidTr="00D059A3">
        <w:trPr>
          <w:trHeight w:val="283"/>
        </w:trPr>
        <w:tc>
          <w:tcPr>
            <w:tcW w:w="3261" w:type="dxa"/>
            <w:shd w:val="clear" w:color="auto" w:fill="auto"/>
            <w:noWrap/>
            <w:vAlign w:val="center"/>
          </w:tcPr>
          <w:p w:rsidR="00EB1B78" w:rsidRPr="002F44BA" w:rsidRDefault="00EB1B78" w:rsidP="00D059A3">
            <w:pPr>
              <w:pStyle w:val="a4"/>
              <w:jc w:val="both"/>
              <w:rPr>
                <w:sz w:val="28"/>
                <w:szCs w:val="28"/>
              </w:rPr>
            </w:pPr>
            <w:r w:rsidRPr="002F44BA">
              <w:rPr>
                <w:sz w:val="28"/>
                <w:szCs w:val="28"/>
              </w:rPr>
              <w:t>max / min</w:t>
            </w:r>
          </w:p>
        </w:tc>
        <w:tc>
          <w:tcPr>
            <w:tcW w:w="2976" w:type="dxa"/>
            <w:shd w:val="clear" w:color="auto" w:fill="auto"/>
            <w:vAlign w:val="center"/>
          </w:tcPr>
          <w:p w:rsidR="00EB1B78" w:rsidRPr="002F44BA" w:rsidRDefault="00EB1B78" w:rsidP="00D059A3">
            <w:pPr>
              <w:pStyle w:val="a4"/>
              <w:jc w:val="center"/>
              <w:rPr>
                <w:sz w:val="28"/>
                <w:szCs w:val="28"/>
              </w:rPr>
            </w:pPr>
            <w:r w:rsidRPr="002F44BA">
              <w:rPr>
                <w:sz w:val="28"/>
                <w:szCs w:val="28"/>
              </w:rPr>
              <w:t>21,2</w:t>
            </w:r>
          </w:p>
        </w:tc>
        <w:tc>
          <w:tcPr>
            <w:tcW w:w="3261" w:type="dxa"/>
            <w:shd w:val="clear" w:color="auto" w:fill="auto"/>
            <w:vAlign w:val="bottom"/>
          </w:tcPr>
          <w:p w:rsidR="00EB1B78" w:rsidRPr="002F44BA" w:rsidRDefault="00EB1B78" w:rsidP="00D059A3">
            <w:pPr>
              <w:pStyle w:val="a4"/>
              <w:jc w:val="center"/>
              <w:rPr>
                <w:sz w:val="28"/>
                <w:szCs w:val="28"/>
              </w:rPr>
            </w:pPr>
            <w:r w:rsidRPr="002F44BA">
              <w:rPr>
                <w:sz w:val="28"/>
                <w:szCs w:val="28"/>
              </w:rPr>
              <w:t>5,3</w:t>
            </w:r>
          </w:p>
        </w:tc>
      </w:tr>
      <w:tr w:rsidR="00EB1B78" w:rsidRPr="002F44BA" w:rsidTr="00D059A3">
        <w:trPr>
          <w:trHeight w:val="283"/>
        </w:trPr>
        <w:tc>
          <w:tcPr>
            <w:tcW w:w="3261" w:type="dxa"/>
            <w:shd w:val="clear" w:color="auto" w:fill="auto"/>
            <w:noWrap/>
            <w:vAlign w:val="center"/>
          </w:tcPr>
          <w:p w:rsidR="00EB1B78" w:rsidRPr="002F44BA" w:rsidRDefault="005539A8" w:rsidP="00D059A3">
            <w:pPr>
              <w:pStyle w:val="a4"/>
              <w:jc w:val="both"/>
              <w:rPr>
                <w:sz w:val="28"/>
                <w:szCs w:val="28"/>
              </w:rPr>
            </w:pPr>
            <w:r>
              <w:rPr>
                <w:sz w:val="28"/>
                <w:szCs w:val="28"/>
              </w:rPr>
              <w:t>с</w:t>
            </w:r>
            <w:r w:rsidR="00EB1B78" w:rsidRPr="002F44BA">
              <w:rPr>
                <w:sz w:val="28"/>
                <w:szCs w:val="28"/>
              </w:rPr>
              <w:t>реднее значение</w:t>
            </w:r>
          </w:p>
        </w:tc>
        <w:tc>
          <w:tcPr>
            <w:tcW w:w="2976" w:type="dxa"/>
            <w:shd w:val="clear" w:color="auto" w:fill="auto"/>
            <w:vAlign w:val="center"/>
          </w:tcPr>
          <w:p w:rsidR="00EB1B78" w:rsidRPr="002F44BA" w:rsidRDefault="00EB1B78" w:rsidP="00D059A3">
            <w:pPr>
              <w:pStyle w:val="a4"/>
              <w:jc w:val="center"/>
              <w:rPr>
                <w:bCs/>
                <w:sz w:val="28"/>
                <w:szCs w:val="28"/>
              </w:rPr>
            </w:pPr>
            <w:r w:rsidRPr="002F44BA">
              <w:rPr>
                <w:sz w:val="28"/>
                <w:szCs w:val="28"/>
              </w:rPr>
              <w:t>72,57</w:t>
            </w:r>
          </w:p>
        </w:tc>
        <w:tc>
          <w:tcPr>
            <w:tcW w:w="3261" w:type="dxa"/>
            <w:shd w:val="clear" w:color="auto" w:fill="auto"/>
            <w:vAlign w:val="center"/>
          </w:tcPr>
          <w:p w:rsidR="00EB1B78" w:rsidRPr="002F44BA" w:rsidRDefault="00EB1B78" w:rsidP="00D059A3">
            <w:pPr>
              <w:pStyle w:val="a4"/>
              <w:jc w:val="center"/>
              <w:rPr>
                <w:bCs/>
                <w:sz w:val="28"/>
                <w:szCs w:val="28"/>
              </w:rPr>
            </w:pPr>
            <w:r w:rsidRPr="002F44BA">
              <w:rPr>
                <w:sz w:val="28"/>
                <w:szCs w:val="28"/>
              </w:rPr>
              <w:t>362,69</w:t>
            </w:r>
          </w:p>
        </w:tc>
      </w:tr>
      <w:tr w:rsidR="00EB1B78" w:rsidRPr="002F44BA" w:rsidTr="00D059A3">
        <w:trPr>
          <w:trHeight w:val="283"/>
        </w:trPr>
        <w:tc>
          <w:tcPr>
            <w:tcW w:w="3261" w:type="dxa"/>
            <w:shd w:val="clear" w:color="auto" w:fill="auto"/>
            <w:noWrap/>
            <w:vAlign w:val="center"/>
          </w:tcPr>
          <w:p w:rsidR="00EB1B78" w:rsidRPr="002F44BA" w:rsidRDefault="005539A8" w:rsidP="00D059A3">
            <w:pPr>
              <w:pStyle w:val="a4"/>
              <w:jc w:val="both"/>
              <w:rPr>
                <w:sz w:val="28"/>
                <w:szCs w:val="28"/>
              </w:rPr>
            </w:pPr>
            <w:r>
              <w:rPr>
                <w:sz w:val="28"/>
                <w:szCs w:val="28"/>
              </w:rPr>
              <w:t>к</w:t>
            </w:r>
            <w:r w:rsidR="00EB1B78" w:rsidRPr="002F44BA">
              <w:rPr>
                <w:sz w:val="28"/>
                <w:szCs w:val="28"/>
              </w:rPr>
              <w:t>оэффициент вариации (%)</w:t>
            </w:r>
          </w:p>
        </w:tc>
        <w:tc>
          <w:tcPr>
            <w:tcW w:w="2976" w:type="dxa"/>
            <w:shd w:val="clear" w:color="auto" w:fill="auto"/>
            <w:vAlign w:val="center"/>
          </w:tcPr>
          <w:p w:rsidR="00EB1B78" w:rsidRPr="002F44BA" w:rsidRDefault="00EB1B78" w:rsidP="00D059A3">
            <w:pPr>
              <w:pStyle w:val="a4"/>
              <w:jc w:val="center"/>
              <w:rPr>
                <w:sz w:val="28"/>
                <w:szCs w:val="28"/>
              </w:rPr>
            </w:pPr>
            <w:r w:rsidRPr="002F44BA">
              <w:rPr>
                <w:sz w:val="28"/>
                <w:szCs w:val="28"/>
              </w:rPr>
              <w:t>37,3</w:t>
            </w:r>
          </w:p>
        </w:tc>
        <w:tc>
          <w:tcPr>
            <w:tcW w:w="3261" w:type="dxa"/>
            <w:shd w:val="clear" w:color="auto" w:fill="auto"/>
            <w:vAlign w:val="center"/>
          </w:tcPr>
          <w:p w:rsidR="00EB1B78" w:rsidRPr="002F44BA" w:rsidRDefault="00EB1B78" w:rsidP="00D059A3">
            <w:pPr>
              <w:pStyle w:val="a4"/>
              <w:jc w:val="center"/>
              <w:rPr>
                <w:sz w:val="28"/>
                <w:szCs w:val="28"/>
              </w:rPr>
            </w:pPr>
            <w:r w:rsidRPr="002F44BA">
              <w:rPr>
                <w:sz w:val="28"/>
                <w:szCs w:val="28"/>
              </w:rPr>
              <w:t>37,2</w:t>
            </w:r>
          </w:p>
        </w:tc>
      </w:tr>
    </w:tbl>
    <w:p w:rsidR="00EB1B78" w:rsidRPr="002F44BA" w:rsidRDefault="00EB1B78" w:rsidP="00EB1B78">
      <w:pPr>
        <w:pStyle w:val="a4"/>
        <w:jc w:val="both"/>
        <w:rPr>
          <w:sz w:val="28"/>
          <w:szCs w:val="28"/>
        </w:rPr>
      </w:pPr>
    </w:p>
    <w:p w:rsidR="00EB1B78" w:rsidRPr="002F44BA" w:rsidRDefault="00EB1B78" w:rsidP="00EB1B78">
      <w:pPr>
        <w:pStyle w:val="a4"/>
        <w:jc w:val="both"/>
        <w:rPr>
          <w:sz w:val="28"/>
          <w:szCs w:val="28"/>
        </w:rPr>
      </w:pPr>
      <w:r w:rsidRPr="002F44BA">
        <w:rPr>
          <w:b/>
          <w:sz w:val="28"/>
          <w:szCs w:val="28"/>
        </w:rPr>
        <w:t>Примечание</w:t>
      </w:r>
      <w:r w:rsidRPr="002F44BA">
        <w:rPr>
          <w:sz w:val="28"/>
          <w:szCs w:val="28"/>
        </w:rPr>
        <w:t>: Данные о кредитной задолженности на душу населения взяты по состоянию на 1 января соответственно 2014, 2015 и 2016 гг. Данные по субъектам Крымского ФО в целях сопоставимости анализа за разные годы не принимались во внимание.</w:t>
      </w:r>
    </w:p>
    <w:p w:rsidR="00EB1B78" w:rsidRPr="002F44BA" w:rsidRDefault="00EB1B78" w:rsidP="00EB1B78">
      <w:pPr>
        <w:pStyle w:val="a4"/>
        <w:jc w:val="both"/>
        <w:rPr>
          <w:sz w:val="28"/>
          <w:szCs w:val="28"/>
        </w:rPr>
      </w:pPr>
    </w:p>
    <w:p w:rsidR="00EB1B78" w:rsidRPr="002F44BA" w:rsidRDefault="00FA3C52" w:rsidP="00EB1B78">
      <w:pPr>
        <w:pStyle w:val="a4"/>
        <w:ind w:firstLine="708"/>
        <w:jc w:val="both"/>
        <w:rPr>
          <w:sz w:val="28"/>
          <w:szCs w:val="28"/>
        </w:rPr>
      </w:pPr>
      <w:r w:rsidRPr="002F44BA">
        <w:rPr>
          <w:sz w:val="28"/>
          <w:szCs w:val="28"/>
        </w:rPr>
        <w:t xml:space="preserve">Приведенные ниже </w:t>
      </w:r>
      <w:r w:rsidR="00EB1B78" w:rsidRPr="002F44BA">
        <w:rPr>
          <w:sz w:val="28"/>
          <w:szCs w:val="28"/>
        </w:rPr>
        <w:t>графики (рис.</w:t>
      </w:r>
      <w:r w:rsidR="005539A8">
        <w:rPr>
          <w:sz w:val="28"/>
          <w:szCs w:val="28"/>
        </w:rPr>
        <w:t xml:space="preserve"> </w:t>
      </w:r>
      <w:r w:rsidR="00EB1B78" w:rsidRPr="002F44BA">
        <w:rPr>
          <w:sz w:val="28"/>
          <w:szCs w:val="28"/>
        </w:rPr>
        <w:t>5</w:t>
      </w:r>
      <w:r w:rsidR="005539A8">
        <w:rPr>
          <w:sz w:val="28"/>
          <w:szCs w:val="28"/>
        </w:rPr>
        <w:t xml:space="preserve"> – </w:t>
      </w:r>
      <w:r w:rsidR="009D47CB" w:rsidRPr="002F44BA">
        <w:rPr>
          <w:sz w:val="28"/>
          <w:szCs w:val="28"/>
        </w:rPr>
        <w:t>7</w:t>
      </w:r>
      <w:r w:rsidR="00EB1B78" w:rsidRPr="002F44BA">
        <w:rPr>
          <w:sz w:val="28"/>
          <w:szCs w:val="28"/>
        </w:rPr>
        <w:t>) демонстрируют существование устойчивой корреляционной зависимости между анализируемыми показателями (среднедушевой кредитной задолженностью и денежными доходами населения), средней тесноты (коэффициент парной корреляции равен 0,68</w:t>
      </w:r>
      <w:r w:rsidR="005539A8">
        <w:rPr>
          <w:sz w:val="28"/>
          <w:szCs w:val="28"/>
        </w:rPr>
        <w:t xml:space="preserve"> – </w:t>
      </w:r>
      <w:r w:rsidR="00EB1B78" w:rsidRPr="002F44BA">
        <w:rPr>
          <w:sz w:val="28"/>
          <w:szCs w:val="28"/>
        </w:rPr>
        <w:t>0,69 и 0,70</w:t>
      </w:r>
      <w:r w:rsidR="005539A8">
        <w:rPr>
          <w:sz w:val="28"/>
          <w:szCs w:val="28"/>
        </w:rPr>
        <w:t xml:space="preserve"> – </w:t>
      </w:r>
      <w:r w:rsidR="00EB1B78" w:rsidRPr="002F44BA">
        <w:rPr>
          <w:sz w:val="28"/>
          <w:szCs w:val="28"/>
        </w:rPr>
        <w:t>0,71), близкой к линейной. При этом показатели достоверности аппроксимации при линейной и полиномиальной форме связи практически одинаковы за 2013</w:t>
      </w:r>
      <w:r w:rsidR="005539A8">
        <w:rPr>
          <w:sz w:val="28"/>
          <w:szCs w:val="28"/>
        </w:rPr>
        <w:t xml:space="preserve"> – </w:t>
      </w:r>
      <w:r w:rsidR="00EB1B78" w:rsidRPr="002F44BA">
        <w:rPr>
          <w:sz w:val="28"/>
          <w:szCs w:val="28"/>
        </w:rPr>
        <w:t>2015</w:t>
      </w:r>
      <w:r w:rsidR="005539A8">
        <w:rPr>
          <w:sz w:val="28"/>
          <w:szCs w:val="28"/>
        </w:rPr>
        <w:t xml:space="preserve"> </w:t>
      </w:r>
      <w:r w:rsidR="00EB1B78" w:rsidRPr="002F44BA">
        <w:rPr>
          <w:sz w:val="28"/>
          <w:szCs w:val="28"/>
        </w:rPr>
        <w:t>гг.</w:t>
      </w:r>
      <w:r w:rsidR="001A107F" w:rsidRPr="002F44BA">
        <w:rPr>
          <w:sz w:val="28"/>
          <w:szCs w:val="28"/>
        </w:rPr>
        <w:t xml:space="preserve"> </w:t>
      </w:r>
      <w:r w:rsidR="009D47CB" w:rsidRPr="002F44BA">
        <w:rPr>
          <w:sz w:val="28"/>
          <w:szCs w:val="28"/>
        </w:rPr>
        <w:t>Модель за 2015</w:t>
      </w:r>
      <w:r w:rsidR="005539A8">
        <w:rPr>
          <w:sz w:val="28"/>
          <w:szCs w:val="28"/>
        </w:rPr>
        <w:t xml:space="preserve"> </w:t>
      </w:r>
      <w:r w:rsidR="009D47CB" w:rsidRPr="002F44BA">
        <w:rPr>
          <w:sz w:val="28"/>
          <w:szCs w:val="28"/>
        </w:rPr>
        <w:t xml:space="preserve">г. была реализована в двух вариантах: с </w:t>
      </w:r>
      <w:r w:rsidR="001A107F" w:rsidRPr="002F44BA">
        <w:rPr>
          <w:sz w:val="28"/>
          <w:szCs w:val="28"/>
        </w:rPr>
        <w:t>введением данных по субъектам Крымского ФО</w:t>
      </w:r>
      <w:r w:rsidR="009D47CB" w:rsidRPr="002F44BA">
        <w:rPr>
          <w:sz w:val="28"/>
          <w:szCs w:val="28"/>
        </w:rPr>
        <w:t xml:space="preserve"> и без введения</w:t>
      </w:r>
      <w:r w:rsidR="002D1BDE" w:rsidRPr="002F44BA">
        <w:rPr>
          <w:sz w:val="28"/>
          <w:szCs w:val="28"/>
        </w:rPr>
        <w:t>.</w:t>
      </w:r>
      <w:r w:rsidR="001A107F" w:rsidRPr="002F44BA">
        <w:rPr>
          <w:sz w:val="28"/>
          <w:szCs w:val="28"/>
        </w:rPr>
        <w:t xml:space="preserve"> </w:t>
      </w:r>
      <w:r w:rsidR="002D1BDE" w:rsidRPr="002F44BA">
        <w:rPr>
          <w:sz w:val="28"/>
          <w:szCs w:val="28"/>
        </w:rPr>
        <w:t>К</w:t>
      </w:r>
      <w:r w:rsidR="001A107F" w:rsidRPr="002F44BA">
        <w:rPr>
          <w:sz w:val="28"/>
          <w:szCs w:val="28"/>
        </w:rPr>
        <w:t>ак показали расчеты, характеристики</w:t>
      </w:r>
      <w:r w:rsidR="009D47CB" w:rsidRPr="002F44BA">
        <w:rPr>
          <w:sz w:val="28"/>
          <w:szCs w:val="28"/>
        </w:rPr>
        <w:t xml:space="preserve"> линейной</w:t>
      </w:r>
      <w:r w:rsidR="001A107F" w:rsidRPr="002F44BA">
        <w:rPr>
          <w:sz w:val="28"/>
          <w:szCs w:val="28"/>
        </w:rPr>
        <w:t xml:space="preserve"> модели в результате этого введения практически не изменились (показател</w:t>
      </w:r>
      <w:r w:rsidR="009D47CB" w:rsidRPr="002F44BA">
        <w:rPr>
          <w:sz w:val="28"/>
          <w:szCs w:val="28"/>
        </w:rPr>
        <w:t>ь</w:t>
      </w:r>
      <w:r w:rsidR="001A107F" w:rsidRPr="002F44BA">
        <w:rPr>
          <w:sz w:val="28"/>
          <w:szCs w:val="28"/>
        </w:rPr>
        <w:t xml:space="preserve"> достоверности аппроксимации</w:t>
      </w:r>
      <w:r w:rsidR="005539A8">
        <w:rPr>
          <w:sz w:val="28"/>
          <w:szCs w:val="28"/>
        </w:rPr>
        <w:t xml:space="preserve"> вырос на 2</w:t>
      </w:r>
      <w:r w:rsidR="009D47CB" w:rsidRPr="002F44BA">
        <w:rPr>
          <w:sz w:val="28"/>
          <w:szCs w:val="28"/>
        </w:rPr>
        <w:t>%, а величина</w:t>
      </w:r>
      <w:r w:rsidR="001A107F" w:rsidRPr="002F44BA">
        <w:rPr>
          <w:sz w:val="28"/>
          <w:szCs w:val="28"/>
        </w:rPr>
        <w:t xml:space="preserve"> коэффициент</w:t>
      </w:r>
      <w:r w:rsidR="009D47CB" w:rsidRPr="002F44BA">
        <w:rPr>
          <w:sz w:val="28"/>
          <w:szCs w:val="28"/>
        </w:rPr>
        <w:t>а</w:t>
      </w:r>
      <w:r w:rsidR="001A107F" w:rsidRPr="002F44BA">
        <w:rPr>
          <w:sz w:val="28"/>
          <w:szCs w:val="28"/>
        </w:rPr>
        <w:t xml:space="preserve"> регрессии</w:t>
      </w:r>
      <w:r w:rsidR="005539A8">
        <w:rPr>
          <w:sz w:val="28"/>
          <w:szCs w:val="28"/>
        </w:rPr>
        <w:t xml:space="preserve"> – на 6,5</w:t>
      </w:r>
      <w:r w:rsidR="009D47CB" w:rsidRPr="002F44BA">
        <w:rPr>
          <w:sz w:val="28"/>
          <w:szCs w:val="28"/>
        </w:rPr>
        <w:t>%</w:t>
      </w:r>
      <w:r w:rsidR="001A107F" w:rsidRPr="002F44BA">
        <w:rPr>
          <w:sz w:val="28"/>
          <w:szCs w:val="28"/>
        </w:rPr>
        <w:t>)</w:t>
      </w:r>
      <w:r w:rsidR="009D47CB" w:rsidRPr="002F44BA">
        <w:rPr>
          <w:sz w:val="28"/>
          <w:szCs w:val="28"/>
        </w:rPr>
        <w:t xml:space="preserve">, характеристики полиномиальной модели выросли более существенно (показатель достоверности аппроксимации вырос на 5 %, а величины параметров при </w:t>
      </w:r>
      <w:r w:rsidR="009D47CB" w:rsidRPr="002F44BA">
        <w:rPr>
          <w:b/>
          <w:i/>
          <w:sz w:val="28"/>
          <w:szCs w:val="28"/>
        </w:rPr>
        <w:t>х</w:t>
      </w:r>
      <w:r w:rsidR="009D47CB" w:rsidRPr="002F44BA">
        <w:rPr>
          <w:sz w:val="28"/>
          <w:szCs w:val="28"/>
        </w:rPr>
        <w:t xml:space="preserve"> и </w:t>
      </w:r>
      <w:r w:rsidR="009D47CB" w:rsidRPr="002F44BA">
        <w:rPr>
          <w:b/>
          <w:i/>
          <w:sz w:val="28"/>
          <w:szCs w:val="28"/>
        </w:rPr>
        <w:t>х</w:t>
      </w:r>
      <w:r w:rsidR="009D47CB" w:rsidRPr="002F44BA">
        <w:rPr>
          <w:b/>
          <w:i/>
          <w:sz w:val="28"/>
          <w:szCs w:val="28"/>
          <w:vertAlign w:val="superscript"/>
        </w:rPr>
        <w:t>2</w:t>
      </w:r>
      <w:r w:rsidR="009D47CB" w:rsidRPr="002F44BA">
        <w:rPr>
          <w:sz w:val="28"/>
          <w:szCs w:val="28"/>
        </w:rPr>
        <w:t xml:space="preserve"> – на </w:t>
      </w:r>
      <w:r w:rsidR="002D1BDE" w:rsidRPr="002F44BA">
        <w:rPr>
          <w:sz w:val="28"/>
          <w:szCs w:val="28"/>
        </w:rPr>
        <w:t>21</w:t>
      </w:r>
      <w:r w:rsidR="005539A8" w:rsidRPr="002F44BA">
        <w:rPr>
          <w:sz w:val="28"/>
          <w:szCs w:val="28"/>
        </w:rPr>
        <w:t>%</w:t>
      </w:r>
      <w:r w:rsidR="002D1BDE" w:rsidRPr="002F44BA">
        <w:rPr>
          <w:sz w:val="28"/>
          <w:szCs w:val="28"/>
        </w:rPr>
        <w:t xml:space="preserve"> и 38</w:t>
      </w:r>
      <w:r w:rsidR="009D47CB" w:rsidRPr="002F44BA">
        <w:rPr>
          <w:sz w:val="28"/>
          <w:szCs w:val="28"/>
        </w:rPr>
        <w:t>%</w:t>
      </w:r>
      <w:r w:rsidR="005539A8">
        <w:rPr>
          <w:sz w:val="28"/>
          <w:szCs w:val="28"/>
        </w:rPr>
        <w:t>,</w:t>
      </w:r>
      <w:r w:rsidR="002D1BDE" w:rsidRPr="002F44BA">
        <w:rPr>
          <w:sz w:val="28"/>
          <w:szCs w:val="28"/>
        </w:rPr>
        <w:t xml:space="preserve"> соответственно)</w:t>
      </w:r>
      <w:r w:rsidR="001C5382" w:rsidRPr="002F44BA">
        <w:rPr>
          <w:sz w:val="28"/>
          <w:szCs w:val="28"/>
        </w:rPr>
        <w:t>, но форма связи не изменилась</w:t>
      </w:r>
      <w:r w:rsidR="001A107F" w:rsidRPr="002F44BA">
        <w:rPr>
          <w:sz w:val="28"/>
          <w:szCs w:val="28"/>
        </w:rPr>
        <w:t>.</w:t>
      </w:r>
    </w:p>
    <w:p w:rsidR="00EB1B78" w:rsidRPr="002F44BA" w:rsidRDefault="00EB1B78" w:rsidP="00EB1B78">
      <w:pPr>
        <w:pStyle w:val="a4"/>
        <w:jc w:val="both"/>
        <w:rPr>
          <w:sz w:val="28"/>
          <w:szCs w:val="28"/>
        </w:rPr>
      </w:pPr>
    </w:p>
    <w:p w:rsidR="00EB1B78" w:rsidRPr="002F44BA" w:rsidRDefault="00EB1B78" w:rsidP="00EB1B78">
      <w:pPr>
        <w:pStyle w:val="a4"/>
        <w:jc w:val="center"/>
        <w:rPr>
          <w:sz w:val="28"/>
          <w:szCs w:val="28"/>
        </w:rPr>
      </w:pPr>
      <w:r w:rsidRPr="002F44BA">
        <w:rPr>
          <w:noProof/>
          <w:sz w:val="28"/>
          <w:szCs w:val="28"/>
          <w:lang w:eastAsia="ru-RU"/>
        </w:rPr>
        <w:lastRenderedPageBreak/>
        <w:drawing>
          <wp:inline distT="0" distB="0" distL="0" distR="0">
            <wp:extent cx="5284470" cy="2743200"/>
            <wp:effectExtent l="19050" t="0" r="11430" b="0"/>
            <wp:docPr id="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1C78" w:rsidRDefault="00561C78" w:rsidP="005539A8">
      <w:pPr>
        <w:pStyle w:val="a4"/>
        <w:jc w:val="center"/>
        <w:rPr>
          <w:i/>
          <w:sz w:val="28"/>
          <w:szCs w:val="28"/>
        </w:rPr>
      </w:pPr>
    </w:p>
    <w:p w:rsidR="00EB1B78" w:rsidRDefault="005539A8" w:rsidP="005539A8">
      <w:pPr>
        <w:pStyle w:val="a4"/>
        <w:jc w:val="center"/>
        <w:rPr>
          <w:i/>
          <w:sz w:val="28"/>
          <w:szCs w:val="28"/>
        </w:rPr>
      </w:pPr>
      <w:r w:rsidRPr="00327547">
        <w:rPr>
          <w:i/>
          <w:sz w:val="28"/>
          <w:szCs w:val="28"/>
        </w:rPr>
        <w:t xml:space="preserve">Рис. </w:t>
      </w:r>
      <w:r>
        <w:rPr>
          <w:i/>
          <w:sz w:val="28"/>
          <w:szCs w:val="28"/>
        </w:rPr>
        <w:t>5</w:t>
      </w:r>
      <w:r w:rsidRPr="00327547">
        <w:rPr>
          <w:i/>
          <w:sz w:val="28"/>
          <w:szCs w:val="28"/>
        </w:rPr>
        <w:t>.</w:t>
      </w:r>
      <w:r>
        <w:rPr>
          <w:i/>
          <w:sz w:val="28"/>
          <w:szCs w:val="28"/>
        </w:rPr>
        <w:t xml:space="preserve"> Корреляционная зависимость КЗ д.н. и ДДН д.н. (2013 г.)</w:t>
      </w:r>
    </w:p>
    <w:p w:rsidR="005539A8" w:rsidRPr="002F44BA" w:rsidRDefault="005539A8" w:rsidP="00EB1B78">
      <w:pPr>
        <w:pStyle w:val="a4"/>
        <w:jc w:val="both"/>
        <w:rPr>
          <w:sz w:val="28"/>
          <w:szCs w:val="28"/>
        </w:rPr>
      </w:pPr>
    </w:p>
    <w:p w:rsidR="00EB1B78" w:rsidRPr="002F44BA" w:rsidRDefault="00EB1B78" w:rsidP="00EB1B78">
      <w:pPr>
        <w:pStyle w:val="a4"/>
        <w:jc w:val="center"/>
        <w:rPr>
          <w:sz w:val="28"/>
          <w:szCs w:val="28"/>
        </w:rPr>
      </w:pPr>
      <w:r w:rsidRPr="002F44BA">
        <w:rPr>
          <w:noProof/>
          <w:sz w:val="28"/>
          <w:szCs w:val="28"/>
          <w:lang w:eastAsia="ru-RU"/>
        </w:rPr>
        <w:drawing>
          <wp:inline distT="0" distB="0" distL="0" distR="0">
            <wp:extent cx="5346506" cy="2592126"/>
            <wp:effectExtent l="19050" t="0" r="25594" b="0"/>
            <wp:docPr id="5"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1C78" w:rsidRDefault="00561C78" w:rsidP="00561C78">
      <w:pPr>
        <w:pStyle w:val="a4"/>
        <w:jc w:val="center"/>
        <w:rPr>
          <w:i/>
          <w:sz w:val="28"/>
          <w:szCs w:val="28"/>
        </w:rPr>
      </w:pPr>
    </w:p>
    <w:p w:rsidR="00EB1B78" w:rsidRPr="002F44BA" w:rsidRDefault="005539A8" w:rsidP="00561C78">
      <w:pPr>
        <w:pStyle w:val="a4"/>
        <w:jc w:val="center"/>
        <w:rPr>
          <w:sz w:val="28"/>
          <w:szCs w:val="28"/>
        </w:rPr>
      </w:pPr>
      <w:r w:rsidRPr="00327547">
        <w:rPr>
          <w:i/>
          <w:sz w:val="28"/>
          <w:szCs w:val="28"/>
        </w:rPr>
        <w:t xml:space="preserve">Рис. </w:t>
      </w:r>
      <w:r>
        <w:rPr>
          <w:i/>
          <w:sz w:val="28"/>
          <w:szCs w:val="28"/>
        </w:rPr>
        <w:t>6</w:t>
      </w:r>
      <w:r w:rsidRPr="00327547">
        <w:rPr>
          <w:i/>
          <w:sz w:val="28"/>
          <w:szCs w:val="28"/>
        </w:rPr>
        <w:t>.</w:t>
      </w:r>
      <w:r w:rsidR="00561C78" w:rsidRPr="00561C78">
        <w:rPr>
          <w:i/>
          <w:sz w:val="28"/>
          <w:szCs w:val="28"/>
        </w:rPr>
        <w:t xml:space="preserve"> </w:t>
      </w:r>
      <w:r w:rsidR="00561C78">
        <w:rPr>
          <w:i/>
          <w:sz w:val="28"/>
          <w:szCs w:val="28"/>
        </w:rPr>
        <w:t>Корреляционная зависимость КЗ д.н. и ДДН д.н. (2014 г.)</w:t>
      </w:r>
    </w:p>
    <w:p w:rsidR="00561C78" w:rsidRPr="002F44BA" w:rsidRDefault="00EB1B78" w:rsidP="00561C78">
      <w:pPr>
        <w:pStyle w:val="a4"/>
        <w:jc w:val="center"/>
        <w:rPr>
          <w:sz w:val="28"/>
          <w:szCs w:val="28"/>
        </w:rPr>
      </w:pPr>
      <w:r w:rsidRPr="002F44BA">
        <w:rPr>
          <w:noProof/>
          <w:sz w:val="28"/>
          <w:szCs w:val="28"/>
          <w:lang w:eastAsia="ru-RU"/>
        </w:rPr>
        <w:lastRenderedPageBreak/>
        <w:drawing>
          <wp:inline distT="0" distB="0" distL="0" distR="0">
            <wp:extent cx="5586619" cy="2838616"/>
            <wp:effectExtent l="19050" t="0" r="14081"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561C78" w:rsidRPr="00561C78">
        <w:rPr>
          <w:i/>
          <w:sz w:val="28"/>
          <w:szCs w:val="28"/>
        </w:rPr>
        <w:t xml:space="preserve"> </w:t>
      </w:r>
      <w:r w:rsidR="00561C78" w:rsidRPr="00327547">
        <w:rPr>
          <w:i/>
          <w:sz w:val="28"/>
          <w:szCs w:val="28"/>
        </w:rPr>
        <w:t xml:space="preserve">Рис. </w:t>
      </w:r>
      <w:r w:rsidR="00561C78">
        <w:rPr>
          <w:i/>
          <w:sz w:val="28"/>
          <w:szCs w:val="28"/>
        </w:rPr>
        <w:t>7</w:t>
      </w:r>
      <w:r w:rsidR="00561C78" w:rsidRPr="00327547">
        <w:rPr>
          <w:i/>
          <w:sz w:val="28"/>
          <w:szCs w:val="28"/>
        </w:rPr>
        <w:t>.</w:t>
      </w:r>
      <w:r w:rsidR="00561C78" w:rsidRPr="00561C78">
        <w:rPr>
          <w:i/>
          <w:sz w:val="28"/>
          <w:szCs w:val="28"/>
        </w:rPr>
        <w:t xml:space="preserve"> </w:t>
      </w:r>
      <w:r w:rsidR="00561C78">
        <w:rPr>
          <w:i/>
          <w:sz w:val="28"/>
          <w:szCs w:val="28"/>
        </w:rPr>
        <w:t>Корреляционная зависимость КЗ д.н. и ДДН д.н. в 2015 г. (без субъектов Крымского ФО)</w:t>
      </w:r>
    </w:p>
    <w:p w:rsidR="00EB1B78" w:rsidRPr="002F44BA" w:rsidRDefault="00EB1B78" w:rsidP="00EB1B78">
      <w:pPr>
        <w:pStyle w:val="a4"/>
        <w:jc w:val="center"/>
        <w:rPr>
          <w:sz w:val="28"/>
          <w:szCs w:val="28"/>
        </w:rPr>
      </w:pPr>
    </w:p>
    <w:p w:rsidR="00EB1B78" w:rsidRPr="002F44BA" w:rsidRDefault="00EB1B78" w:rsidP="00EB1B78">
      <w:pPr>
        <w:pStyle w:val="a4"/>
        <w:jc w:val="both"/>
        <w:rPr>
          <w:sz w:val="28"/>
          <w:szCs w:val="28"/>
        </w:rPr>
      </w:pPr>
    </w:p>
    <w:p w:rsidR="00FA3C52" w:rsidRPr="002F44BA" w:rsidRDefault="00EB1B78" w:rsidP="00561C78">
      <w:pPr>
        <w:pStyle w:val="a4"/>
        <w:ind w:firstLine="709"/>
        <w:jc w:val="both"/>
        <w:rPr>
          <w:sz w:val="28"/>
          <w:szCs w:val="28"/>
        </w:rPr>
      </w:pPr>
      <w:r w:rsidRPr="002F44BA">
        <w:rPr>
          <w:sz w:val="28"/>
          <w:szCs w:val="28"/>
        </w:rPr>
        <w:t>По данным за 2014</w:t>
      </w:r>
      <w:r w:rsidR="00561C78">
        <w:rPr>
          <w:sz w:val="28"/>
          <w:szCs w:val="28"/>
        </w:rPr>
        <w:t xml:space="preserve"> </w:t>
      </w:r>
      <w:r w:rsidRPr="002F44BA">
        <w:rPr>
          <w:sz w:val="28"/>
          <w:szCs w:val="28"/>
        </w:rPr>
        <w:t>г.</w:t>
      </w:r>
      <w:r w:rsidR="00F446AE" w:rsidRPr="002F44BA">
        <w:rPr>
          <w:sz w:val="28"/>
          <w:szCs w:val="28"/>
        </w:rPr>
        <w:t>,</w:t>
      </w:r>
      <w:r w:rsidRPr="002F44BA">
        <w:rPr>
          <w:sz w:val="28"/>
          <w:szCs w:val="28"/>
        </w:rPr>
        <w:t xml:space="preserve"> </w:t>
      </w:r>
      <w:r w:rsidR="00F446AE" w:rsidRPr="002F44BA">
        <w:rPr>
          <w:sz w:val="28"/>
          <w:szCs w:val="28"/>
        </w:rPr>
        <w:t xml:space="preserve">для </w:t>
      </w:r>
      <w:r w:rsidRPr="002F44BA">
        <w:rPr>
          <w:sz w:val="28"/>
          <w:szCs w:val="28"/>
        </w:rPr>
        <w:t>58 субъектов РФ (70% общего их числ</w:t>
      </w:r>
      <w:r w:rsidR="00F446AE" w:rsidRPr="002F44BA">
        <w:rPr>
          <w:sz w:val="28"/>
          <w:szCs w:val="28"/>
        </w:rPr>
        <w:t>енности</w:t>
      </w:r>
      <w:r w:rsidRPr="002F44BA">
        <w:rPr>
          <w:sz w:val="28"/>
          <w:szCs w:val="28"/>
        </w:rPr>
        <w:t>) имели</w:t>
      </w:r>
      <w:r w:rsidR="00F446AE" w:rsidRPr="002F44BA">
        <w:rPr>
          <w:sz w:val="28"/>
          <w:szCs w:val="28"/>
        </w:rPr>
        <w:t>сь</w:t>
      </w:r>
      <w:r w:rsidRPr="002F44BA">
        <w:rPr>
          <w:sz w:val="28"/>
          <w:szCs w:val="28"/>
        </w:rPr>
        <w:t xml:space="preserve"> отклонения фактических значений от предсказанных по регрессионному уравнению</w:t>
      </w:r>
      <w:r w:rsidR="00A0470A" w:rsidRPr="002F44BA">
        <w:rPr>
          <w:sz w:val="28"/>
          <w:szCs w:val="28"/>
        </w:rPr>
        <w:t xml:space="preserve"> </w:t>
      </w:r>
      <w:r w:rsidRPr="002F44BA">
        <w:rPr>
          <w:sz w:val="28"/>
          <w:szCs w:val="28"/>
        </w:rPr>
        <w:t>кредитной задолженности и среднедушевых доходов населения не более 20% в ту или иную сторону</w:t>
      </w:r>
      <w:r w:rsidR="00F446AE" w:rsidRPr="002F44BA">
        <w:rPr>
          <w:sz w:val="28"/>
          <w:szCs w:val="28"/>
        </w:rPr>
        <w:t xml:space="preserve">. </w:t>
      </w:r>
      <w:r w:rsidR="00A0470A" w:rsidRPr="002F44BA">
        <w:rPr>
          <w:sz w:val="28"/>
          <w:szCs w:val="28"/>
        </w:rPr>
        <w:t>Для 11 регионов (13%</w:t>
      </w:r>
      <w:r w:rsidRPr="002F44BA">
        <w:rPr>
          <w:sz w:val="28"/>
          <w:szCs w:val="28"/>
        </w:rPr>
        <w:t>) имели</w:t>
      </w:r>
      <w:r w:rsidR="00A0470A" w:rsidRPr="002F44BA">
        <w:rPr>
          <w:sz w:val="28"/>
          <w:szCs w:val="28"/>
        </w:rPr>
        <w:t>сь</w:t>
      </w:r>
      <w:r w:rsidRPr="002F44BA">
        <w:rPr>
          <w:sz w:val="28"/>
          <w:szCs w:val="28"/>
        </w:rPr>
        <w:t xml:space="preserve"> от</w:t>
      </w:r>
      <w:r w:rsidR="00561C78">
        <w:rPr>
          <w:sz w:val="28"/>
          <w:szCs w:val="28"/>
        </w:rPr>
        <w:t>рицательные отклонения более 20</w:t>
      </w:r>
      <w:r w:rsidRPr="002F44BA">
        <w:rPr>
          <w:sz w:val="28"/>
          <w:szCs w:val="28"/>
        </w:rPr>
        <w:t xml:space="preserve">% и </w:t>
      </w:r>
      <w:r w:rsidR="00A0470A" w:rsidRPr="002F44BA">
        <w:rPr>
          <w:sz w:val="28"/>
          <w:szCs w:val="28"/>
        </w:rPr>
        <w:t xml:space="preserve">для </w:t>
      </w:r>
      <w:r w:rsidRPr="002F44BA">
        <w:rPr>
          <w:sz w:val="28"/>
          <w:szCs w:val="28"/>
        </w:rPr>
        <w:t>14</w:t>
      </w:r>
      <w:r w:rsidR="00A0470A" w:rsidRPr="002F44BA">
        <w:rPr>
          <w:sz w:val="28"/>
          <w:szCs w:val="28"/>
        </w:rPr>
        <w:t xml:space="preserve"> регионов</w:t>
      </w:r>
      <w:r w:rsidRPr="002F44BA">
        <w:rPr>
          <w:sz w:val="28"/>
          <w:szCs w:val="28"/>
        </w:rPr>
        <w:t xml:space="preserve"> (17%) – положительные отклонения более 20%. </w:t>
      </w:r>
    </w:p>
    <w:p w:rsidR="00A0470A" w:rsidRPr="002F44BA" w:rsidRDefault="00EB1B78" w:rsidP="00A0470A">
      <w:pPr>
        <w:pStyle w:val="a4"/>
        <w:ind w:firstLine="708"/>
        <w:jc w:val="both"/>
        <w:rPr>
          <w:sz w:val="28"/>
          <w:szCs w:val="28"/>
        </w:rPr>
      </w:pPr>
      <w:r w:rsidRPr="002F44BA">
        <w:rPr>
          <w:sz w:val="28"/>
          <w:szCs w:val="28"/>
        </w:rPr>
        <w:t>Если в исходной совокупности фактор доходов определя</w:t>
      </w:r>
      <w:r w:rsidR="00A0470A" w:rsidRPr="002F44BA">
        <w:rPr>
          <w:sz w:val="28"/>
          <w:szCs w:val="28"/>
        </w:rPr>
        <w:t>л</w:t>
      </w:r>
      <w:r w:rsidRPr="002F44BA">
        <w:rPr>
          <w:sz w:val="28"/>
          <w:szCs w:val="28"/>
        </w:rPr>
        <w:t xml:space="preserve"> около 48</w:t>
      </w:r>
      <w:r w:rsidR="00561C78" w:rsidRPr="002F44BA">
        <w:rPr>
          <w:sz w:val="28"/>
          <w:szCs w:val="28"/>
        </w:rPr>
        <w:t>%</w:t>
      </w:r>
      <w:r w:rsidR="00561C78">
        <w:rPr>
          <w:sz w:val="28"/>
          <w:szCs w:val="28"/>
        </w:rPr>
        <w:t xml:space="preserve"> – 50</w:t>
      </w:r>
      <w:r w:rsidRPr="002F44BA">
        <w:rPr>
          <w:sz w:val="28"/>
          <w:szCs w:val="28"/>
        </w:rPr>
        <w:t xml:space="preserve">% вариации кредитной задолженности  (при </w:t>
      </w:r>
      <w:r w:rsidRPr="002F44BA">
        <w:rPr>
          <w:i/>
          <w:sz w:val="28"/>
          <w:szCs w:val="28"/>
          <w:lang w:val="en-US"/>
        </w:rPr>
        <w:t>r</w:t>
      </w:r>
      <w:r w:rsidRPr="002F44BA">
        <w:rPr>
          <w:sz w:val="28"/>
          <w:szCs w:val="28"/>
        </w:rPr>
        <w:t xml:space="preserve"> =</w:t>
      </w:r>
      <w:r w:rsidR="00561C78">
        <w:rPr>
          <w:sz w:val="28"/>
          <w:szCs w:val="28"/>
        </w:rPr>
        <w:t xml:space="preserve"> </w:t>
      </w:r>
      <w:r w:rsidRPr="002F44BA">
        <w:rPr>
          <w:sz w:val="28"/>
          <w:szCs w:val="28"/>
        </w:rPr>
        <w:t xml:space="preserve">0,69, </w:t>
      </w:r>
      <w:r w:rsidRPr="002F44BA">
        <w:rPr>
          <w:i/>
          <w:sz w:val="28"/>
          <w:szCs w:val="28"/>
          <w:lang w:val="en-US"/>
        </w:rPr>
        <w:t>b</w:t>
      </w:r>
      <w:r w:rsidRPr="002F44BA">
        <w:rPr>
          <w:sz w:val="28"/>
          <w:szCs w:val="28"/>
        </w:rPr>
        <w:t xml:space="preserve"> = 0,1594, </w:t>
      </w:r>
      <w:r w:rsidRPr="002F44BA">
        <w:rPr>
          <w:i/>
          <w:sz w:val="28"/>
          <w:szCs w:val="28"/>
          <w:lang w:val="en-US"/>
        </w:rPr>
        <w:t>t</w:t>
      </w:r>
      <w:r w:rsidRPr="002F44BA">
        <w:rPr>
          <w:sz w:val="28"/>
          <w:szCs w:val="28"/>
        </w:rPr>
        <w:t xml:space="preserve">-критерии = 8,6 при табличном значении 1,99 и значимом </w:t>
      </w:r>
      <w:r w:rsidRPr="002F44BA">
        <w:rPr>
          <w:i/>
          <w:sz w:val="28"/>
          <w:szCs w:val="28"/>
          <w:lang w:val="en-US"/>
        </w:rPr>
        <w:t>F</w:t>
      </w:r>
      <w:r w:rsidRPr="002F44BA">
        <w:rPr>
          <w:sz w:val="28"/>
          <w:szCs w:val="28"/>
        </w:rPr>
        <w:t>-критерии = 73,9 при табличном 3,96), то в группе «типичных» наблюде</w:t>
      </w:r>
      <w:r w:rsidR="00561C78">
        <w:rPr>
          <w:sz w:val="28"/>
          <w:szCs w:val="28"/>
        </w:rPr>
        <w:t>ний (с отклонениями не более 20</w:t>
      </w:r>
      <w:r w:rsidRPr="002F44BA">
        <w:rPr>
          <w:sz w:val="28"/>
          <w:szCs w:val="28"/>
        </w:rPr>
        <w:t>%) существенно повыша</w:t>
      </w:r>
      <w:r w:rsidR="00561C78">
        <w:rPr>
          <w:sz w:val="28"/>
          <w:szCs w:val="28"/>
        </w:rPr>
        <w:t>е</w:t>
      </w:r>
      <w:r w:rsidRPr="002F44BA">
        <w:rPr>
          <w:sz w:val="28"/>
          <w:szCs w:val="28"/>
        </w:rPr>
        <w:t>тся парный коэффициент корреляции (0,88)</w:t>
      </w:r>
      <w:r w:rsidR="00A0470A" w:rsidRPr="002F44BA">
        <w:rPr>
          <w:sz w:val="28"/>
          <w:szCs w:val="28"/>
        </w:rPr>
        <w:t>. В</w:t>
      </w:r>
      <w:r w:rsidRPr="002F44BA">
        <w:rPr>
          <w:sz w:val="28"/>
          <w:szCs w:val="28"/>
        </w:rPr>
        <w:t xml:space="preserve">еличина достоверности аппроксимации </w:t>
      </w:r>
      <w:r w:rsidR="00A0470A" w:rsidRPr="002F44BA">
        <w:rPr>
          <w:sz w:val="28"/>
          <w:szCs w:val="28"/>
        </w:rPr>
        <w:t xml:space="preserve"> </w:t>
      </w:r>
      <w:r w:rsidRPr="002F44BA">
        <w:rPr>
          <w:i/>
          <w:sz w:val="28"/>
          <w:szCs w:val="28"/>
          <w:lang w:val="en-US"/>
        </w:rPr>
        <w:t>R</w:t>
      </w:r>
      <w:r w:rsidRPr="002F44BA">
        <w:rPr>
          <w:sz w:val="28"/>
          <w:szCs w:val="28"/>
          <w:vertAlign w:val="superscript"/>
        </w:rPr>
        <w:t>2</w:t>
      </w:r>
      <w:r w:rsidRPr="002F44BA">
        <w:rPr>
          <w:sz w:val="28"/>
          <w:szCs w:val="28"/>
        </w:rPr>
        <w:t xml:space="preserve"> = 0,78-0,81</w:t>
      </w:r>
      <w:r w:rsidR="00A0470A" w:rsidRPr="002F44BA">
        <w:rPr>
          <w:sz w:val="28"/>
          <w:szCs w:val="28"/>
        </w:rPr>
        <w:t>. Это означает, что</w:t>
      </w:r>
      <w:r w:rsidRPr="002F44BA">
        <w:rPr>
          <w:sz w:val="28"/>
          <w:szCs w:val="28"/>
        </w:rPr>
        <w:t xml:space="preserve"> вариация среднедушевых денежных доходов населения определяет до 81% вариа</w:t>
      </w:r>
      <w:r w:rsidR="00561C78">
        <w:rPr>
          <w:sz w:val="28"/>
          <w:szCs w:val="28"/>
        </w:rPr>
        <w:t>ций его кредитной задолженности</w:t>
      </w:r>
      <w:r w:rsidRPr="002F44BA">
        <w:rPr>
          <w:sz w:val="28"/>
          <w:szCs w:val="28"/>
        </w:rPr>
        <w:t xml:space="preserve"> или в 1,6</w:t>
      </w:r>
      <w:r w:rsidR="00561C78">
        <w:rPr>
          <w:sz w:val="28"/>
          <w:szCs w:val="28"/>
        </w:rPr>
        <w:t xml:space="preserve"> </w:t>
      </w:r>
      <w:r w:rsidRPr="002F44BA">
        <w:rPr>
          <w:sz w:val="28"/>
          <w:szCs w:val="28"/>
        </w:rPr>
        <w:t>раза больше, чем в генеральной совокупности</w:t>
      </w:r>
      <w:r w:rsidR="00A0470A" w:rsidRPr="002F44BA">
        <w:rPr>
          <w:sz w:val="28"/>
          <w:szCs w:val="28"/>
        </w:rPr>
        <w:t>.</w:t>
      </w:r>
      <w:r w:rsidRPr="002F44BA">
        <w:rPr>
          <w:sz w:val="28"/>
          <w:szCs w:val="28"/>
        </w:rPr>
        <w:t xml:space="preserve"> </w:t>
      </w:r>
    </w:p>
    <w:p w:rsidR="004E2AFE" w:rsidRPr="002F44BA" w:rsidRDefault="00EB1B78" w:rsidP="004E2AFE">
      <w:pPr>
        <w:pStyle w:val="a4"/>
        <w:ind w:firstLine="708"/>
        <w:jc w:val="both"/>
        <w:rPr>
          <w:sz w:val="28"/>
          <w:szCs w:val="28"/>
        </w:rPr>
      </w:pPr>
      <w:r w:rsidRPr="002F44BA">
        <w:rPr>
          <w:sz w:val="28"/>
          <w:szCs w:val="28"/>
        </w:rPr>
        <w:t>Это регионы с «</w:t>
      </w:r>
      <w:r w:rsidRPr="002F44BA">
        <w:rPr>
          <w:i/>
          <w:sz w:val="28"/>
          <w:szCs w:val="28"/>
        </w:rPr>
        <w:t>нормальной</w:t>
      </w:r>
      <w:r w:rsidRPr="002F44BA">
        <w:rPr>
          <w:sz w:val="28"/>
          <w:szCs w:val="28"/>
        </w:rPr>
        <w:t>» (</w:t>
      </w:r>
      <w:r w:rsidRPr="002F44BA">
        <w:rPr>
          <w:i/>
          <w:sz w:val="28"/>
          <w:szCs w:val="28"/>
        </w:rPr>
        <w:t>предсказуемой</w:t>
      </w:r>
      <w:r w:rsidRPr="002F44BA">
        <w:rPr>
          <w:sz w:val="28"/>
          <w:szCs w:val="28"/>
        </w:rPr>
        <w:t>) «кредитной отзывчивостью», т.</w:t>
      </w:r>
      <w:r w:rsidR="00E3415D">
        <w:rPr>
          <w:sz w:val="28"/>
          <w:szCs w:val="28"/>
        </w:rPr>
        <w:t xml:space="preserve"> </w:t>
      </w:r>
      <w:r w:rsidRPr="002F44BA">
        <w:rPr>
          <w:sz w:val="28"/>
          <w:szCs w:val="28"/>
        </w:rPr>
        <w:t>е. при данном уровне доходов населения (при прочих равных условиях, при элиминировании влияния прочих факторов) фактические значения их среднедушевой кредитной задолженности примерно соответствуют предсказанным величинам (спроса на кредит). Б</w:t>
      </w:r>
      <w:r w:rsidR="00E3415D" w:rsidRPr="00E3415D">
        <w:rPr>
          <w:sz w:val="28"/>
          <w:szCs w:val="28"/>
        </w:rPr>
        <w:t>о</w:t>
      </w:r>
      <w:r w:rsidRPr="002F44BA">
        <w:rPr>
          <w:sz w:val="28"/>
          <w:szCs w:val="28"/>
        </w:rPr>
        <w:t>льшая часть дальневосточных субъектов РФ (кроме Чукотского АО и Якутии) вошла в группу с «нормальной» «кредитной отзывчивостью»</w:t>
      </w:r>
      <w:r w:rsidR="004E2AFE" w:rsidRPr="002F44BA">
        <w:rPr>
          <w:sz w:val="28"/>
          <w:szCs w:val="28"/>
        </w:rPr>
        <w:t>.</w:t>
      </w:r>
    </w:p>
    <w:p w:rsidR="004E2AFE" w:rsidRPr="002F44BA" w:rsidRDefault="00EB1B78" w:rsidP="00E3415D">
      <w:pPr>
        <w:pStyle w:val="a4"/>
        <w:ind w:firstLine="709"/>
        <w:jc w:val="both"/>
        <w:rPr>
          <w:sz w:val="28"/>
          <w:szCs w:val="28"/>
        </w:rPr>
      </w:pPr>
      <w:r w:rsidRPr="002F44BA">
        <w:rPr>
          <w:sz w:val="28"/>
          <w:szCs w:val="28"/>
        </w:rPr>
        <w:t xml:space="preserve">В группу «нетипичных» наблюдений с отрицательными </w:t>
      </w:r>
      <w:r w:rsidR="00E3415D">
        <w:rPr>
          <w:sz w:val="28"/>
          <w:szCs w:val="28"/>
        </w:rPr>
        <w:t>отклонениями более 20</w:t>
      </w:r>
      <w:r w:rsidRPr="002F44BA">
        <w:rPr>
          <w:sz w:val="28"/>
          <w:szCs w:val="28"/>
        </w:rPr>
        <w:t xml:space="preserve">% вошли 5 субъектов Центрального ФО, 5 субъектов Северо-Кавказского ФО и Чукотский АО в составе Дальневосточного ФО. Это очень </w:t>
      </w:r>
      <w:r w:rsidRPr="002F44BA">
        <w:rPr>
          <w:sz w:val="28"/>
          <w:szCs w:val="28"/>
        </w:rPr>
        <w:lastRenderedPageBreak/>
        <w:t>разношерстная группа регионов (коэффициент вариации кре</w:t>
      </w:r>
      <w:r w:rsidR="00E3415D">
        <w:rPr>
          <w:sz w:val="28"/>
          <w:szCs w:val="28"/>
        </w:rPr>
        <w:t>дитной задолженности равен 50,8</w:t>
      </w:r>
      <w:r w:rsidRPr="002F44BA">
        <w:rPr>
          <w:sz w:val="28"/>
          <w:szCs w:val="28"/>
        </w:rPr>
        <w:t xml:space="preserve">%, денежных доходов </w:t>
      </w:r>
      <w:r w:rsidR="00E3415D">
        <w:rPr>
          <w:sz w:val="28"/>
          <w:szCs w:val="28"/>
        </w:rPr>
        <w:t>– 45,1</w:t>
      </w:r>
      <w:r w:rsidRPr="002F44BA">
        <w:rPr>
          <w:sz w:val="28"/>
          <w:szCs w:val="28"/>
        </w:rPr>
        <w:t>%) с пониженной «кредитной отзывчивостью», т.</w:t>
      </w:r>
      <w:r w:rsidR="00E3415D">
        <w:rPr>
          <w:sz w:val="28"/>
          <w:szCs w:val="28"/>
        </w:rPr>
        <w:t xml:space="preserve"> </w:t>
      </w:r>
      <w:r w:rsidRPr="002F44BA">
        <w:rPr>
          <w:sz w:val="28"/>
          <w:szCs w:val="28"/>
        </w:rPr>
        <w:t>е. их фактические значения кредитной задолженности порой</w:t>
      </w:r>
      <w:r w:rsidR="00E3415D">
        <w:rPr>
          <w:sz w:val="28"/>
          <w:szCs w:val="28"/>
        </w:rPr>
        <w:t xml:space="preserve"> существенно ниже предсказанных</w:t>
      </w:r>
      <w:r w:rsidRPr="002F44BA">
        <w:rPr>
          <w:sz w:val="28"/>
          <w:szCs w:val="28"/>
        </w:rPr>
        <w:t xml:space="preserve"> </w:t>
      </w:r>
      <w:r w:rsidR="00E3415D">
        <w:rPr>
          <w:sz w:val="28"/>
          <w:szCs w:val="28"/>
        </w:rPr>
        <w:t>(</w:t>
      </w:r>
      <w:r w:rsidRPr="002F44BA">
        <w:rPr>
          <w:sz w:val="28"/>
          <w:szCs w:val="28"/>
        </w:rPr>
        <w:t>расчетных</w:t>
      </w:r>
      <w:r w:rsidR="00E3415D">
        <w:rPr>
          <w:sz w:val="28"/>
          <w:szCs w:val="28"/>
        </w:rPr>
        <w:t>) или теоретически возможных</w:t>
      </w:r>
      <w:r w:rsidRPr="002F44BA">
        <w:rPr>
          <w:sz w:val="28"/>
          <w:szCs w:val="28"/>
        </w:rPr>
        <w:t xml:space="preserve"> при данном уровне доходов. Иными словами, при данных фактических уровнях денежных доходов населения в этих регионах спрос на кредиты («теоретическое значение среднедушевой кредитной задолженности») намного (более</w:t>
      </w:r>
      <w:r w:rsidR="00E3415D">
        <w:rPr>
          <w:sz w:val="28"/>
          <w:szCs w:val="28"/>
        </w:rPr>
        <w:t>, чем на 20</w:t>
      </w:r>
      <w:r w:rsidRPr="002F44BA">
        <w:rPr>
          <w:sz w:val="28"/>
          <w:szCs w:val="28"/>
        </w:rPr>
        <w:t>%) больше фактической кредитной задолженности на душу населения в этих субъектах РФ.</w:t>
      </w:r>
    </w:p>
    <w:p w:rsidR="004E2AFE" w:rsidRPr="002F44BA" w:rsidRDefault="00EB1B78" w:rsidP="00E3415D">
      <w:pPr>
        <w:pStyle w:val="a4"/>
        <w:ind w:firstLine="709"/>
        <w:jc w:val="both"/>
        <w:rPr>
          <w:sz w:val="28"/>
          <w:szCs w:val="28"/>
        </w:rPr>
      </w:pPr>
      <w:r w:rsidRPr="002F44BA">
        <w:rPr>
          <w:sz w:val="28"/>
          <w:szCs w:val="28"/>
        </w:rPr>
        <w:t>И, наконец, в группу «нетипичных» наблюдений с полож</w:t>
      </w:r>
      <w:r w:rsidR="00E3415D">
        <w:rPr>
          <w:sz w:val="28"/>
          <w:szCs w:val="28"/>
        </w:rPr>
        <w:t>ительными отклонениями более 20</w:t>
      </w:r>
      <w:r w:rsidRPr="002F44BA">
        <w:rPr>
          <w:sz w:val="28"/>
          <w:szCs w:val="28"/>
        </w:rPr>
        <w:t>% вошли 14 субъектов РФ: два – в составе Северо-Западного ФО, один – Южного ФО (Республика Калмыкия), три – Уральского ФО, семь – Сибирского ФО и Республика Саха (Якутия)</w:t>
      </w:r>
      <w:r w:rsidR="004E2AFE" w:rsidRPr="002F44BA">
        <w:rPr>
          <w:sz w:val="28"/>
          <w:szCs w:val="28"/>
        </w:rPr>
        <w:t xml:space="preserve"> от ДФО</w:t>
      </w:r>
      <w:r w:rsidR="00E3415D">
        <w:rPr>
          <w:sz w:val="28"/>
          <w:szCs w:val="28"/>
        </w:rPr>
        <w:t xml:space="preserve">, </w:t>
      </w:r>
      <w:r w:rsidRPr="002F44BA">
        <w:rPr>
          <w:sz w:val="28"/>
          <w:szCs w:val="28"/>
        </w:rPr>
        <w:t>в составе Дальневосточного ФО (т.</w:t>
      </w:r>
      <w:r w:rsidR="00E3415D">
        <w:rPr>
          <w:sz w:val="28"/>
          <w:szCs w:val="28"/>
        </w:rPr>
        <w:t xml:space="preserve"> </w:t>
      </w:r>
      <w:r w:rsidRPr="002F44BA">
        <w:rPr>
          <w:sz w:val="28"/>
          <w:szCs w:val="28"/>
        </w:rPr>
        <w:t>е.</w:t>
      </w:r>
      <w:r w:rsidR="00E3415D">
        <w:rPr>
          <w:sz w:val="28"/>
          <w:szCs w:val="28"/>
        </w:rPr>
        <w:t>,</w:t>
      </w:r>
      <w:r w:rsidRPr="002F44BA">
        <w:rPr>
          <w:sz w:val="28"/>
          <w:szCs w:val="28"/>
        </w:rPr>
        <w:t xml:space="preserve"> в основном</w:t>
      </w:r>
      <w:r w:rsidR="00E3415D">
        <w:rPr>
          <w:sz w:val="28"/>
          <w:szCs w:val="28"/>
        </w:rPr>
        <w:t>,</w:t>
      </w:r>
      <w:r w:rsidRPr="002F44BA">
        <w:rPr>
          <w:sz w:val="28"/>
          <w:szCs w:val="28"/>
        </w:rPr>
        <w:t xml:space="preserve"> северные и восточные – «зауральские» – регионы).</w:t>
      </w:r>
    </w:p>
    <w:p w:rsidR="00EB1B78" w:rsidRPr="002F44BA" w:rsidRDefault="00EB1B78" w:rsidP="004E2AFE">
      <w:pPr>
        <w:pStyle w:val="a4"/>
        <w:ind w:firstLine="708"/>
        <w:jc w:val="both"/>
        <w:rPr>
          <w:sz w:val="28"/>
          <w:szCs w:val="28"/>
        </w:rPr>
      </w:pPr>
      <w:r w:rsidRPr="002F44BA">
        <w:rPr>
          <w:sz w:val="28"/>
          <w:szCs w:val="28"/>
        </w:rPr>
        <w:t>При этом</w:t>
      </w:r>
      <w:r w:rsidR="00E3415D">
        <w:rPr>
          <w:sz w:val="28"/>
          <w:szCs w:val="28"/>
        </w:rPr>
        <w:t>,</w:t>
      </w:r>
      <w:r w:rsidRPr="002F44BA">
        <w:rPr>
          <w:sz w:val="28"/>
          <w:szCs w:val="28"/>
        </w:rPr>
        <w:t xml:space="preserve"> коэффициент регрессии в этой группе повышается до 0,1946, т.</w:t>
      </w:r>
      <w:r w:rsidR="00E3415D">
        <w:rPr>
          <w:sz w:val="28"/>
          <w:szCs w:val="28"/>
        </w:rPr>
        <w:t xml:space="preserve"> </w:t>
      </w:r>
      <w:r w:rsidRPr="002F44BA">
        <w:rPr>
          <w:sz w:val="28"/>
          <w:szCs w:val="28"/>
        </w:rPr>
        <w:t>е. в 1,2</w:t>
      </w:r>
      <w:r w:rsidR="00E3415D">
        <w:rPr>
          <w:sz w:val="28"/>
          <w:szCs w:val="28"/>
        </w:rPr>
        <w:t xml:space="preserve"> </w:t>
      </w:r>
      <w:r w:rsidRPr="002F44BA">
        <w:rPr>
          <w:sz w:val="28"/>
          <w:szCs w:val="28"/>
        </w:rPr>
        <w:t>раза</w:t>
      </w:r>
      <w:r w:rsidR="00E3415D">
        <w:rPr>
          <w:sz w:val="28"/>
          <w:szCs w:val="28"/>
        </w:rPr>
        <w:t>,</w:t>
      </w:r>
      <w:r w:rsidRPr="002F44BA">
        <w:rPr>
          <w:sz w:val="28"/>
          <w:szCs w:val="28"/>
        </w:rPr>
        <w:t xml:space="preserve"> по сравнению с генеральной совокупностью</w:t>
      </w:r>
      <w:r w:rsidR="00E3415D">
        <w:rPr>
          <w:sz w:val="28"/>
          <w:szCs w:val="28"/>
        </w:rPr>
        <w:t>,</w:t>
      </w:r>
      <w:r w:rsidRPr="002F44BA">
        <w:rPr>
          <w:sz w:val="28"/>
          <w:szCs w:val="28"/>
        </w:rPr>
        <w:t xml:space="preserve"> и почти в 1,4</w:t>
      </w:r>
      <w:r w:rsidR="00E3415D">
        <w:rPr>
          <w:sz w:val="28"/>
          <w:szCs w:val="28"/>
        </w:rPr>
        <w:t xml:space="preserve"> </w:t>
      </w:r>
      <w:r w:rsidRPr="002F44BA">
        <w:rPr>
          <w:sz w:val="28"/>
          <w:szCs w:val="28"/>
        </w:rPr>
        <w:t>раза</w:t>
      </w:r>
      <w:r w:rsidR="00E3415D">
        <w:rPr>
          <w:sz w:val="28"/>
          <w:szCs w:val="28"/>
        </w:rPr>
        <w:t>,</w:t>
      </w:r>
      <w:r w:rsidRPr="002F44BA">
        <w:rPr>
          <w:sz w:val="28"/>
          <w:szCs w:val="28"/>
        </w:rPr>
        <w:t xml:space="preserve"> по сравнению с группой регионов с «нормальной» «кредитной отзывчивостью». Это регионы с повышенной «кредитной отзывчивостью», т.</w:t>
      </w:r>
      <w:r w:rsidR="00E3415D">
        <w:rPr>
          <w:sz w:val="28"/>
          <w:szCs w:val="28"/>
        </w:rPr>
        <w:t xml:space="preserve"> </w:t>
      </w:r>
      <w:r w:rsidRPr="002F44BA">
        <w:rPr>
          <w:sz w:val="28"/>
          <w:szCs w:val="28"/>
        </w:rPr>
        <w:t>е. их фактическая кредитная задолженность порой значительно выше теоретически возможной при данном фактическом уровне доходов при прочих равных условиях. При расчете итоговых предсказанных знач</w:t>
      </w:r>
      <w:r w:rsidR="00E3415D">
        <w:rPr>
          <w:sz w:val="28"/>
          <w:szCs w:val="28"/>
        </w:rPr>
        <w:t>ений кредитной задолженности 86</w:t>
      </w:r>
      <w:r w:rsidRPr="002F44BA">
        <w:rPr>
          <w:sz w:val="28"/>
          <w:szCs w:val="28"/>
        </w:rPr>
        <w:t>% членов группы дали отклонения от -1,1 до +13,3 %.</w:t>
      </w:r>
    </w:p>
    <w:p w:rsidR="004E2AFE" w:rsidRPr="002F44BA" w:rsidRDefault="00EB1B78" w:rsidP="00EB1B78">
      <w:pPr>
        <w:pStyle w:val="a4"/>
        <w:ind w:firstLine="708"/>
        <w:jc w:val="both"/>
        <w:rPr>
          <w:sz w:val="28"/>
          <w:szCs w:val="28"/>
        </w:rPr>
      </w:pPr>
      <w:r w:rsidRPr="002F44BA">
        <w:rPr>
          <w:sz w:val="28"/>
          <w:szCs w:val="28"/>
        </w:rPr>
        <w:t xml:space="preserve">Таким образом, наблюдается не только высокая региональная дифференциация кредитной задолженности населения и основного фактора, определяющего её </w:t>
      </w:r>
      <w:r w:rsidR="004E2AFE" w:rsidRPr="002F44BA">
        <w:rPr>
          <w:sz w:val="28"/>
          <w:szCs w:val="28"/>
        </w:rPr>
        <w:t>волатильность</w:t>
      </w:r>
      <w:r w:rsidR="00E3415D">
        <w:rPr>
          <w:sz w:val="28"/>
          <w:szCs w:val="28"/>
        </w:rPr>
        <w:t xml:space="preserve"> (</w:t>
      </w:r>
      <w:r w:rsidRPr="002F44BA">
        <w:rPr>
          <w:sz w:val="28"/>
          <w:szCs w:val="28"/>
        </w:rPr>
        <w:t>среднедушевых денежных доходов населения</w:t>
      </w:r>
      <w:r w:rsidR="00E3415D">
        <w:rPr>
          <w:sz w:val="28"/>
          <w:szCs w:val="28"/>
        </w:rPr>
        <w:t>)</w:t>
      </w:r>
      <w:r w:rsidRPr="002F44BA">
        <w:rPr>
          <w:sz w:val="28"/>
          <w:szCs w:val="28"/>
        </w:rPr>
        <w:t>, но и большие различия в количественных оценках их взаимосвязи (в величине оценок и их существенности</w:t>
      </w:r>
      <w:r w:rsidR="004E2AFE" w:rsidRPr="002F44BA">
        <w:rPr>
          <w:sz w:val="28"/>
          <w:szCs w:val="28"/>
        </w:rPr>
        <w:t>)</w:t>
      </w:r>
      <w:r w:rsidR="009B118E" w:rsidRPr="002F44BA">
        <w:rPr>
          <w:sz w:val="28"/>
          <w:szCs w:val="28"/>
        </w:rPr>
        <w:t>.</w:t>
      </w:r>
    </w:p>
    <w:p w:rsidR="00FA3C52" w:rsidRPr="002F44BA" w:rsidRDefault="00FA3C52" w:rsidP="00FA3C52">
      <w:pPr>
        <w:pStyle w:val="a4"/>
        <w:ind w:firstLine="708"/>
        <w:jc w:val="both"/>
        <w:rPr>
          <w:sz w:val="28"/>
          <w:szCs w:val="28"/>
        </w:rPr>
      </w:pPr>
      <w:r w:rsidRPr="002F44BA">
        <w:rPr>
          <w:sz w:val="28"/>
          <w:szCs w:val="28"/>
        </w:rPr>
        <w:t>Таким образом, экспериментальными оценками количественного влияния фактора доходов на кредитную задолженность населения была установлена высокая корреляционная связь показателей среднедушевых денежных доходов населения с величиной задолженности по кредитам, предоставленным кредитными организациями физическим лицам-резидентам, в расчете на душу населения.</w:t>
      </w:r>
    </w:p>
    <w:p w:rsidR="00FA3C52" w:rsidRPr="002F44BA" w:rsidRDefault="00FA3C52" w:rsidP="00EB1B78">
      <w:pPr>
        <w:pStyle w:val="a4"/>
        <w:ind w:firstLine="708"/>
        <w:jc w:val="both"/>
        <w:rPr>
          <w:sz w:val="28"/>
          <w:szCs w:val="28"/>
        </w:rPr>
      </w:pPr>
    </w:p>
    <w:p w:rsidR="00EB1B78" w:rsidRPr="00E3415D" w:rsidRDefault="00E3415D" w:rsidP="00EB1B78">
      <w:pPr>
        <w:pStyle w:val="a4"/>
        <w:jc w:val="center"/>
        <w:rPr>
          <w:b/>
          <w:i/>
          <w:sz w:val="28"/>
          <w:szCs w:val="28"/>
        </w:rPr>
      </w:pPr>
      <w:r w:rsidRPr="00E3415D">
        <w:rPr>
          <w:b/>
          <w:i/>
          <w:sz w:val="28"/>
          <w:szCs w:val="28"/>
        </w:rPr>
        <w:t>Литература и источники:</w:t>
      </w:r>
    </w:p>
    <w:p w:rsidR="00EB1B78" w:rsidRPr="002F44BA" w:rsidRDefault="00EB1B78" w:rsidP="00EB1B78">
      <w:pPr>
        <w:pStyle w:val="a4"/>
        <w:jc w:val="both"/>
        <w:rPr>
          <w:sz w:val="28"/>
          <w:szCs w:val="28"/>
        </w:rPr>
      </w:pPr>
    </w:p>
    <w:p w:rsidR="004E2AFE" w:rsidRPr="003C301C" w:rsidRDefault="004E2AFE" w:rsidP="00E3415D">
      <w:pPr>
        <w:pStyle w:val="a4"/>
        <w:ind w:firstLine="709"/>
        <w:jc w:val="both"/>
        <w:rPr>
          <w:i/>
          <w:sz w:val="28"/>
          <w:szCs w:val="28"/>
        </w:rPr>
      </w:pPr>
      <w:r w:rsidRPr="003C301C">
        <w:rPr>
          <w:i/>
          <w:sz w:val="28"/>
          <w:szCs w:val="28"/>
          <w:lang w:eastAsia="ru-RU"/>
        </w:rPr>
        <w:t xml:space="preserve">1. </w:t>
      </w:r>
      <w:r w:rsidR="003C301C" w:rsidRPr="003C301C">
        <w:rPr>
          <w:i/>
          <w:sz w:val="28"/>
          <w:szCs w:val="28"/>
        </w:rPr>
        <w:t>Гонтмахер Е. Российское население в период экономических трудностей: пределы приспособляемости / Е. Гонтмахер // Вопросы экономики. – 2014. – № 8. – С. 140 – 150.</w:t>
      </w:r>
    </w:p>
    <w:p w:rsidR="00EB1B78" w:rsidRPr="003C301C" w:rsidRDefault="004E2AFE" w:rsidP="00E3415D">
      <w:pPr>
        <w:pStyle w:val="a4"/>
        <w:ind w:firstLine="709"/>
        <w:jc w:val="both"/>
        <w:rPr>
          <w:i/>
          <w:sz w:val="28"/>
          <w:szCs w:val="28"/>
        </w:rPr>
      </w:pPr>
      <w:r w:rsidRPr="003C301C">
        <w:rPr>
          <w:i/>
          <w:sz w:val="28"/>
          <w:szCs w:val="28"/>
        </w:rPr>
        <w:lastRenderedPageBreak/>
        <w:t>2</w:t>
      </w:r>
      <w:r w:rsidR="00EB1B78" w:rsidRPr="003C301C">
        <w:rPr>
          <w:i/>
          <w:sz w:val="28"/>
          <w:szCs w:val="28"/>
        </w:rPr>
        <w:t xml:space="preserve">. </w:t>
      </w:r>
      <w:r w:rsidRPr="003C301C">
        <w:rPr>
          <w:i/>
          <w:sz w:val="28"/>
          <w:szCs w:val="28"/>
        </w:rPr>
        <w:t>Г</w:t>
      </w:r>
      <w:r w:rsidR="00EB1B78" w:rsidRPr="003C301C">
        <w:rPr>
          <w:i/>
          <w:sz w:val="28"/>
          <w:szCs w:val="28"/>
        </w:rPr>
        <w:t>оловнин</w:t>
      </w:r>
      <w:r w:rsidR="00E3415D" w:rsidRPr="003C301C">
        <w:rPr>
          <w:i/>
          <w:sz w:val="28"/>
          <w:szCs w:val="28"/>
        </w:rPr>
        <w:t>,</w:t>
      </w:r>
      <w:r w:rsidRPr="003C301C">
        <w:rPr>
          <w:i/>
          <w:sz w:val="28"/>
          <w:szCs w:val="28"/>
        </w:rPr>
        <w:t xml:space="preserve"> М</w:t>
      </w:r>
      <w:r w:rsidR="00EB1B78" w:rsidRPr="003C301C">
        <w:rPr>
          <w:i/>
          <w:sz w:val="28"/>
          <w:szCs w:val="28"/>
        </w:rPr>
        <w:t>. Развитие денежно-кредитной сферы в трансформационный период: Россия и страны Центральной и Восточной Европы. – М.: Книжный дом «ЛИБРОКОМ», 2009. – 224 с.</w:t>
      </w:r>
    </w:p>
    <w:p w:rsidR="004E2AFE" w:rsidRPr="003C301C" w:rsidRDefault="004E2AFE" w:rsidP="00E3415D">
      <w:pPr>
        <w:pStyle w:val="a4"/>
        <w:ind w:firstLine="709"/>
        <w:jc w:val="both"/>
        <w:rPr>
          <w:i/>
          <w:sz w:val="28"/>
          <w:szCs w:val="28"/>
        </w:rPr>
      </w:pPr>
      <w:r w:rsidRPr="003C301C">
        <w:rPr>
          <w:i/>
          <w:sz w:val="28"/>
          <w:szCs w:val="28"/>
        </w:rPr>
        <w:t xml:space="preserve">3. </w:t>
      </w:r>
      <w:r w:rsidR="003C301C" w:rsidRPr="003C301C">
        <w:rPr>
          <w:i/>
          <w:sz w:val="28"/>
          <w:szCs w:val="28"/>
          <w:lang w:eastAsia="ru-RU"/>
        </w:rPr>
        <w:t>Дерюгина, Е. Идентификация факторов спроса и предложения кредитов в России : серия докладов об экономических исследованиях / Е. Дерюгина [и др.] // Банк России. – Март 2015 г. –  № 3.</w:t>
      </w:r>
    </w:p>
    <w:p w:rsidR="00EB1B78" w:rsidRPr="003C301C" w:rsidRDefault="004E2AFE" w:rsidP="00E3415D">
      <w:pPr>
        <w:pStyle w:val="a4"/>
        <w:ind w:firstLine="709"/>
        <w:jc w:val="both"/>
        <w:rPr>
          <w:i/>
          <w:sz w:val="28"/>
          <w:szCs w:val="28"/>
        </w:rPr>
      </w:pPr>
      <w:r w:rsidRPr="003C301C">
        <w:rPr>
          <w:i/>
          <w:sz w:val="28"/>
          <w:szCs w:val="28"/>
        </w:rPr>
        <w:t>4</w:t>
      </w:r>
      <w:r w:rsidR="00EB1B78" w:rsidRPr="003C301C">
        <w:rPr>
          <w:i/>
          <w:sz w:val="28"/>
          <w:szCs w:val="28"/>
        </w:rPr>
        <w:t>. Ершов</w:t>
      </w:r>
      <w:r w:rsidR="003C301C" w:rsidRPr="003C301C">
        <w:rPr>
          <w:i/>
          <w:sz w:val="28"/>
          <w:szCs w:val="28"/>
        </w:rPr>
        <w:t>,</w:t>
      </w:r>
      <w:r w:rsidRPr="003C301C">
        <w:rPr>
          <w:i/>
          <w:sz w:val="28"/>
          <w:szCs w:val="28"/>
        </w:rPr>
        <w:t xml:space="preserve"> Ю</w:t>
      </w:r>
      <w:r w:rsidR="00EB1B78" w:rsidRPr="003C301C">
        <w:rPr>
          <w:i/>
          <w:sz w:val="28"/>
          <w:szCs w:val="28"/>
        </w:rPr>
        <w:t xml:space="preserve">. Экономическое соревнование регионов России </w:t>
      </w:r>
      <w:r w:rsidR="003C301C" w:rsidRPr="003C301C">
        <w:rPr>
          <w:i/>
          <w:sz w:val="28"/>
          <w:szCs w:val="28"/>
        </w:rPr>
        <w:t xml:space="preserve">/ Ю. Ершов </w:t>
      </w:r>
      <w:r w:rsidR="00EB1B78" w:rsidRPr="003C301C">
        <w:rPr>
          <w:i/>
          <w:sz w:val="28"/>
          <w:szCs w:val="28"/>
        </w:rPr>
        <w:t xml:space="preserve">// Регион: экономика и социология. </w:t>
      </w:r>
      <w:r w:rsidR="003C301C" w:rsidRPr="003C301C">
        <w:rPr>
          <w:i/>
          <w:sz w:val="28"/>
          <w:szCs w:val="28"/>
        </w:rPr>
        <w:t xml:space="preserve">– </w:t>
      </w:r>
      <w:r w:rsidR="00EB1B78" w:rsidRPr="003C301C">
        <w:rPr>
          <w:i/>
          <w:sz w:val="28"/>
          <w:szCs w:val="28"/>
        </w:rPr>
        <w:t xml:space="preserve">2016. </w:t>
      </w:r>
      <w:r w:rsidR="003C301C" w:rsidRPr="003C301C">
        <w:rPr>
          <w:i/>
          <w:sz w:val="28"/>
          <w:szCs w:val="28"/>
        </w:rPr>
        <w:t xml:space="preserve">– </w:t>
      </w:r>
      <w:r w:rsidR="00EB1B78" w:rsidRPr="003C301C">
        <w:rPr>
          <w:i/>
          <w:sz w:val="28"/>
          <w:szCs w:val="28"/>
        </w:rPr>
        <w:t>№</w:t>
      </w:r>
      <w:r w:rsidR="003C301C" w:rsidRPr="003C301C">
        <w:rPr>
          <w:i/>
          <w:sz w:val="28"/>
          <w:szCs w:val="28"/>
        </w:rPr>
        <w:t xml:space="preserve"> </w:t>
      </w:r>
      <w:r w:rsidR="00EB1B78" w:rsidRPr="003C301C">
        <w:rPr>
          <w:i/>
          <w:sz w:val="28"/>
          <w:szCs w:val="28"/>
        </w:rPr>
        <w:t xml:space="preserve">1 (89). </w:t>
      </w:r>
      <w:r w:rsidR="003C301C" w:rsidRPr="003C301C">
        <w:rPr>
          <w:i/>
          <w:sz w:val="28"/>
          <w:szCs w:val="28"/>
        </w:rPr>
        <w:t xml:space="preserve">– </w:t>
      </w:r>
      <w:r w:rsidR="00EB1B78" w:rsidRPr="003C301C">
        <w:rPr>
          <w:i/>
          <w:sz w:val="28"/>
          <w:szCs w:val="28"/>
        </w:rPr>
        <w:t>С.</w:t>
      </w:r>
      <w:r w:rsidR="003C301C" w:rsidRPr="003C301C">
        <w:rPr>
          <w:i/>
          <w:sz w:val="28"/>
          <w:szCs w:val="28"/>
        </w:rPr>
        <w:t xml:space="preserve"> </w:t>
      </w:r>
      <w:r w:rsidR="00EB1B78" w:rsidRPr="003C301C">
        <w:rPr>
          <w:i/>
          <w:sz w:val="28"/>
          <w:szCs w:val="28"/>
        </w:rPr>
        <w:t>83</w:t>
      </w:r>
      <w:r w:rsidR="003C301C" w:rsidRPr="003C301C">
        <w:rPr>
          <w:i/>
          <w:sz w:val="28"/>
          <w:szCs w:val="28"/>
        </w:rPr>
        <w:t xml:space="preserve"> – </w:t>
      </w:r>
      <w:r w:rsidR="00EB1B78" w:rsidRPr="003C301C">
        <w:rPr>
          <w:i/>
          <w:sz w:val="28"/>
          <w:szCs w:val="28"/>
        </w:rPr>
        <w:t>107.</w:t>
      </w:r>
    </w:p>
    <w:p w:rsidR="004E2AFE" w:rsidRPr="005F6916" w:rsidRDefault="004E2AFE" w:rsidP="00E3415D">
      <w:pPr>
        <w:pStyle w:val="a4"/>
        <w:ind w:firstLine="709"/>
        <w:jc w:val="both"/>
        <w:rPr>
          <w:i/>
          <w:sz w:val="28"/>
          <w:szCs w:val="28"/>
        </w:rPr>
      </w:pPr>
      <w:r w:rsidRPr="003C301C">
        <w:rPr>
          <w:i/>
          <w:sz w:val="28"/>
          <w:szCs w:val="28"/>
        </w:rPr>
        <w:t>5. Стребков</w:t>
      </w:r>
      <w:r w:rsidR="003C301C" w:rsidRPr="003C301C">
        <w:rPr>
          <w:i/>
          <w:sz w:val="28"/>
          <w:szCs w:val="28"/>
        </w:rPr>
        <w:t>,</w:t>
      </w:r>
      <w:r w:rsidRPr="003C301C">
        <w:rPr>
          <w:i/>
          <w:sz w:val="28"/>
          <w:szCs w:val="28"/>
        </w:rPr>
        <w:t xml:space="preserve"> Д. Основные типы и факторы кредитного поведения населения в современной России</w:t>
      </w:r>
      <w:r w:rsidR="003C301C" w:rsidRPr="003C301C">
        <w:rPr>
          <w:i/>
          <w:sz w:val="28"/>
          <w:szCs w:val="28"/>
        </w:rPr>
        <w:t xml:space="preserve"> </w:t>
      </w:r>
      <w:r w:rsidRPr="003C301C">
        <w:rPr>
          <w:i/>
          <w:sz w:val="28"/>
          <w:szCs w:val="28"/>
        </w:rPr>
        <w:t>//</w:t>
      </w:r>
      <w:r w:rsidR="003C301C" w:rsidRPr="003C301C">
        <w:rPr>
          <w:i/>
          <w:sz w:val="28"/>
          <w:szCs w:val="28"/>
        </w:rPr>
        <w:t xml:space="preserve"> </w:t>
      </w:r>
      <w:r w:rsidRPr="003C301C">
        <w:rPr>
          <w:i/>
          <w:sz w:val="28"/>
          <w:szCs w:val="28"/>
        </w:rPr>
        <w:t>Вопросы экономики</w:t>
      </w:r>
      <w:r w:rsidR="003C301C" w:rsidRPr="003C301C">
        <w:rPr>
          <w:i/>
          <w:sz w:val="28"/>
          <w:szCs w:val="28"/>
        </w:rPr>
        <w:t>.</w:t>
      </w:r>
      <w:r w:rsidRPr="003C301C">
        <w:rPr>
          <w:i/>
          <w:sz w:val="28"/>
          <w:szCs w:val="28"/>
        </w:rPr>
        <w:t xml:space="preserve"> </w:t>
      </w:r>
      <w:r w:rsidR="003C301C" w:rsidRPr="003C301C">
        <w:rPr>
          <w:i/>
          <w:sz w:val="28"/>
          <w:szCs w:val="28"/>
        </w:rPr>
        <w:t xml:space="preserve">– </w:t>
      </w:r>
      <w:r w:rsidRPr="003C301C">
        <w:rPr>
          <w:i/>
          <w:sz w:val="28"/>
          <w:szCs w:val="28"/>
        </w:rPr>
        <w:t xml:space="preserve">2004. </w:t>
      </w:r>
      <w:r w:rsidR="003C301C" w:rsidRPr="003C301C">
        <w:rPr>
          <w:i/>
          <w:sz w:val="28"/>
          <w:szCs w:val="28"/>
        </w:rPr>
        <w:t xml:space="preserve">– </w:t>
      </w:r>
      <w:r w:rsidRPr="003C301C">
        <w:rPr>
          <w:i/>
          <w:sz w:val="28"/>
          <w:szCs w:val="28"/>
        </w:rPr>
        <w:t>№</w:t>
      </w:r>
      <w:r w:rsidR="003C301C" w:rsidRPr="003C301C">
        <w:rPr>
          <w:i/>
          <w:sz w:val="28"/>
          <w:szCs w:val="28"/>
        </w:rPr>
        <w:t xml:space="preserve"> </w:t>
      </w:r>
      <w:r w:rsidRPr="003C301C">
        <w:rPr>
          <w:i/>
          <w:sz w:val="28"/>
          <w:szCs w:val="28"/>
        </w:rPr>
        <w:t>2</w:t>
      </w:r>
      <w:r w:rsidR="003C301C" w:rsidRPr="003C301C">
        <w:rPr>
          <w:i/>
          <w:sz w:val="28"/>
          <w:szCs w:val="28"/>
        </w:rPr>
        <w:t>. –</w:t>
      </w:r>
      <w:r w:rsidRPr="003C301C">
        <w:rPr>
          <w:i/>
          <w:sz w:val="28"/>
          <w:szCs w:val="28"/>
        </w:rPr>
        <w:t xml:space="preserve"> </w:t>
      </w:r>
      <w:r w:rsidR="003C301C" w:rsidRPr="003C301C">
        <w:rPr>
          <w:i/>
          <w:sz w:val="28"/>
          <w:szCs w:val="28"/>
        </w:rPr>
        <w:t>С</w:t>
      </w:r>
      <w:r w:rsidRPr="003C301C">
        <w:rPr>
          <w:i/>
          <w:sz w:val="28"/>
          <w:szCs w:val="28"/>
        </w:rPr>
        <w:t>.</w:t>
      </w:r>
      <w:r w:rsidR="003C301C" w:rsidRPr="003C301C">
        <w:rPr>
          <w:i/>
          <w:sz w:val="28"/>
          <w:szCs w:val="28"/>
        </w:rPr>
        <w:t xml:space="preserve"> </w:t>
      </w:r>
      <w:r w:rsidRPr="003C301C">
        <w:rPr>
          <w:i/>
          <w:sz w:val="28"/>
          <w:szCs w:val="28"/>
        </w:rPr>
        <w:t>109</w:t>
      </w:r>
      <w:r w:rsidR="003C301C" w:rsidRPr="003C301C">
        <w:rPr>
          <w:i/>
          <w:sz w:val="28"/>
          <w:szCs w:val="28"/>
        </w:rPr>
        <w:t xml:space="preserve"> – </w:t>
      </w:r>
      <w:r w:rsidRPr="003C301C">
        <w:rPr>
          <w:i/>
          <w:sz w:val="28"/>
          <w:szCs w:val="28"/>
        </w:rPr>
        <w:t>128</w:t>
      </w:r>
      <w:r w:rsidR="005F6916" w:rsidRPr="005F6916">
        <w:rPr>
          <w:i/>
          <w:sz w:val="28"/>
          <w:szCs w:val="28"/>
        </w:rPr>
        <w:t>.</w:t>
      </w:r>
    </w:p>
    <w:sectPr w:rsidR="004E2AFE" w:rsidRPr="005F6916" w:rsidSect="005B263A">
      <w:pgSz w:w="11906" w:h="16838"/>
      <w:pgMar w:top="1418" w:right="1133"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1D3" w:rsidRDefault="008541D3" w:rsidP="00E73E28">
      <w:pPr>
        <w:spacing w:after="0" w:line="240" w:lineRule="auto"/>
      </w:pPr>
      <w:r>
        <w:separator/>
      </w:r>
    </w:p>
  </w:endnote>
  <w:endnote w:type="continuationSeparator" w:id="1">
    <w:p w:rsidR="008541D3" w:rsidRDefault="008541D3" w:rsidP="00E73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1D3" w:rsidRDefault="008541D3" w:rsidP="00E73E28">
      <w:pPr>
        <w:spacing w:after="0" w:line="240" w:lineRule="auto"/>
      </w:pPr>
      <w:r>
        <w:separator/>
      </w:r>
    </w:p>
  </w:footnote>
  <w:footnote w:type="continuationSeparator" w:id="1">
    <w:p w:rsidR="008541D3" w:rsidRDefault="008541D3" w:rsidP="00E73E28">
      <w:pPr>
        <w:spacing w:after="0" w:line="240" w:lineRule="auto"/>
      </w:pPr>
      <w:r>
        <w:continuationSeparator/>
      </w:r>
    </w:p>
  </w:footnote>
  <w:footnote w:id="2">
    <w:p w:rsidR="00D930DC" w:rsidRPr="00667A4B" w:rsidRDefault="00D930DC" w:rsidP="002F44BA">
      <w:pPr>
        <w:pStyle w:val="a8"/>
        <w:jc w:val="both"/>
      </w:pPr>
      <w:r w:rsidRPr="00667A4B">
        <w:rPr>
          <w:rStyle w:val="a7"/>
        </w:rPr>
        <w:footnoteRef/>
      </w:r>
      <w:r w:rsidRPr="00667A4B">
        <w:t xml:space="preserve"> </w:t>
      </w:r>
      <w:r w:rsidR="00571820" w:rsidRPr="00667A4B">
        <w:t xml:space="preserve">В данной статье </w:t>
      </w:r>
      <w:r w:rsidR="00667A4B" w:rsidRPr="00667A4B">
        <w:t xml:space="preserve">под потребительским кредитованием подразумевается </w:t>
      </w:r>
      <w:r w:rsidRPr="00667A4B">
        <w:t>банковское кредитование физических лиц</w:t>
      </w:r>
      <w:r w:rsidR="00667A4B" w:rsidRPr="00667A4B">
        <w:t xml:space="preserve">, включая </w:t>
      </w:r>
      <w:r w:rsidRPr="00667A4B">
        <w:t xml:space="preserve"> жилищные и ипотечные жилищные кредиты.</w:t>
      </w:r>
    </w:p>
  </w:footnote>
  <w:footnote w:id="3">
    <w:p w:rsidR="00276EE7" w:rsidRDefault="00276EE7" w:rsidP="00276EE7">
      <w:pPr>
        <w:pStyle w:val="a8"/>
      </w:pPr>
      <w:r>
        <w:rPr>
          <w:rStyle w:val="a7"/>
        </w:rPr>
        <w:footnoteRef/>
      </w:r>
      <w:r>
        <w:t xml:space="preserve"> В целях достижения сопоставимости результатов за разные годы субъекты Крымского ФО не принимались в расчет рейтингов</w:t>
      </w:r>
      <w:r w:rsidR="00737247">
        <w:t>.</w:t>
      </w:r>
    </w:p>
  </w:footnote>
  <w:footnote w:id="4">
    <w:p w:rsidR="00FA3C52" w:rsidRDefault="00EB1B78" w:rsidP="00EB1B78">
      <w:pPr>
        <w:pStyle w:val="a4"/>
        <w:jc w:val="both"/>
        <w:rPr>
          <w:sz w:val="20"/>
          <w:szCs w:val="20"/>
        </w:rPr>
      </w:pPr>
      <w:r>
        <w:rPr>
          <w:rStyle w:val="a7"/>
        </w:rPr>
        <w:footnoteRef/>
      </w:r>
      <w:r>
        <w:t xml:space="preserve"> </w:t>
      </w:r>
      <w:r w:rsidR="00DE600A" w:rsidRPr="00DE600A">
        <w:rPr>
          <w:sz w:val="20"/>
          <w:szCs w:val="20"/>
        </w:rPr>
        <w:t xml:space="preserve">Для объяснения </w:t>
      </w:r>
      <w:r w:rsidRPr="00586C83">
        <w:rPr>
          <w:sz w:val="20"/>
          <w:szCs w:val="20"/>
        </w:rPr>
        <w:t>высокой дифференциации денежных доходов населения</w:t>
      </w:r>
      <w:r w:rsidR="00DE600A">
        <w:rPr>
          <w:sz w:val="20"/>
          <w:szCs w:val="20"/>
        </w:rPr>
        <w:t xml:space="preserve"> в РФ, на наш взгляд,</w:t>
      </w:r>
      <w:r w:rsidRPr="00586C83">
        <w:rPr>
          <w:sz w:val="20"/>
          <w:szCs w:val="20"/>
        </w:rPr>
        <w:t xml:space="preserve"> </w:t>
      </w:r>
      <w:r w:rsidR="00DE600A">
        <w:rPr>
          <w:sz w:val="20"/>
          <w:szCs w:val="20"/>
        </w:rPr>
        <w:t>следует принять во внимание гипотезу</w:t>
      </w:r>
      <w:r w:rsidRPr="00586C83">
        <w:rPr>
          <w:sz w:val="20"/>
          <w:szCs w:val="20"/>
        </w:rPr>
        <w:t xml:space="preserve"> Ю.С.</w:t>
      </w:r>
      <w:r w:rsidR="00B1683D">
        <w:rPr>
          <w:sz w:val="20"/>
          <w:szCs w:val="20"/>
        </w:rPr>
        <w:t xml:space="preserve"> </w:t>
      </w:r>
      <w:r w:rsidRPr="00586C83">
        <w:rPr>
          <w:sz w:val="20"/>
          <w:szCs w:val="20"/>
        </w:rPr>
        <w:t>Ершова (Экономическое соревнование регионов России // Регион: экономика и социология. 2016. №</w:t>
      </w:r>
      <w:r w:rsidR="00B1683D">
        <w:rPr>
          <w:sz w:val="20"/>
          <w:szCs w:val="20"/>
        </w:rPr>
        <w:t xml:space="preserve"> </w:t>
      </w:r>
      <w:r w:rsidRPr="00586C83">
        <w:rPr>
          <w:sz w:val="20"/>
          <w:szCs w:val="20"/>
        </w:rPr>
        <w:t>1 (89). С.</w:t>
      </w:r>
      <w:r w:rsidR="00B1683D">
        <w:rPr>
          <w:sz w:val="20"/>
          <w:szCs w:val="20"/>
        </w:rPr>
        <w:t xml:space="preserve"> </w:t>
      </w:r>
      <w:r w:rsidRPr="00586C83">
        <w:rPr>
          <w:sz w:val="20"/>
          <w:szCs w:val="20"/>
        </w:rPr>
        <w:t>83</w:t>
      </w:r>
      <w:r w:rsidR="00B1683D">
        <w:rPr>
          <w:sz w:val="20"/>
          <w:szCs w:val="20"/>
        </w:rPr>
        <w:t xml:space="preserve"> – </w:t>
      </w:r>
      <w:r w:rsidRPr="00586C83">
        <w:rPr>
          <w:sz w:val="20"/>
          <w:szCs w:val="20"/>
        </w:rPr>
        <w:t>107</w:t>
      </w:r>
      <w:r w:rsidR="00DE600A">
        <w:rPr>
          <w:sz w:val="20"/>
          <w:szCs w:val="20"/>
        </w:rPr>
        <w:t>).</w:t>
      </w:r>
      <w:r w:rsidRPr="00586C83">
        <w:rPr>
          <w:sz w:val="20"/>
          <w:szCs w:val="20"/>
        </w:rPr>
        <w:t xml:space="preserve"> </w:t>
      </w:r>
      <w:r w:rsidR="00DE600A">
        <w:rPr>
          <w:sz w:val="20"/>
          <w:szCs w:val="20"/>
        </w:rPr>
        <w:t>О</w:t>
      </w:r>
      <w:r w:rsidRPr="00586C83">
        <w:rPr>
          <w:sz w:val="20"/>
          <w:szCs w:val="20"/>
        </w:rPr>
        <w:t xml:space="preserve">н </w:t>
      </w:r>
      <w:r w:rsidR="00DE600A">
        <w:rPr>
          <w:sz w:val="20"/>
          <w:szCs w:val="20"/>
        </w:rPr>
        <w:t>предполагает</w:t>
      </w:r>
      <w:r w:rsidRPr="00586C83">
        <w:rPr>
          <w:sz w:val="20"/>
          <w:szCs w:val="20"/>
        </w:rPr>
        <w:t>, что главной причиной высокой межрегиональной дифференциации душевых показателей</w:t>
      </w:r>
      <w:r>
        <w:rPr>
          <w:sz w:val="20"/>
          <w:szCs w:val="20"/>
        </w:rPr>
        <w:t xml:space="preserve"> применительно</w:t>
      </w:r>
      <w:r w:rsidR="002C1846">
        <w:rPr>
          <w:sz w:val="20"/>
          <w:szCs w:val="20"/>
        </w:rPr>
        <w:t xml:space="preserve"> к показателю ВРП</w:t>
      </w:r>
      <w:r w:rsidRPr="00586C83">
        <w:rPr>
          <w:sz w:val="20"/>
          <w:szCs w:val="20"/>
        </w:rPr>
        <w:t xml:space="preserve"> являются не различия в уровнях используемых технологий, квалификации рабочей силы, в возрастной структуре населения в части соотношения общей численности и численности в трудоспособном возрасте или разных уровнях экономической активности населения. «</w:t>
      </w:r>
      <w:r w:rsidR="002C1846">
        <w:rPr>
          <w:sz w:val="20"/>
          <w:szCs w:val="20"/>
        </w:rPr>
        <w:t xml:space="preserve">… </w:t>
      </w:r>
      <w:r w:rsidRPr="00586C83">
        <w:rPr>
          <w:sz w:val="20"/>
          <w:szCs w:val="20"/>
        </w:rPr>
        <w:t>Главная причина – огромная дифференциация показателей производительности труда по разным в</w:t>
      </w:r>
      <w:r w:rsidR="00DE600A">
        <w:rPr>
          <w:sz w:val="20"/>
          <w:szCs w:val="20"/>
        </w:rPr>
        <w:t>идам экономической деятельности</w:t>
      </w:r>
      <w:r w:rsidRPr="00586C83">
        <w:rPr>
          <w:sz w:val="20"/>
          <w:szCs w:val="20"/>
        </w:rPr>
        <w:t>». И далее: «</w:t>
      </w:r>
      <w:r w:rsidR="002C1846">
        <w:rPr>
          <w:sz w:val="20"/>
          <w:szCs w:val="20"/>
        </w:rPr>
        <w:t xml:space="preserve">… </w:t>
      </w:r>
      <w:r w:rsidRPr="00586C83">
        <w:rPr>
          <w:sz w:val="20"/>
          <w:szCs w:val="20"/>
        </w:rPr>
        <w:t xml:space="preserve">Экономически благополучными в современной России являются регионы, либо обладающие уникальными природными ресурсами, либо специализирующиеся на самых выгодных видах деятельности, прежде всего </w:t>
      </w:r>
      <w:r w:rsidR="00F446AE">
        <w:rPr>
          <w:sz w:val="20"/>
          <w:szCs w:val="20"/>
        </w:rPr>
        <w:t>на финансах и оптовой торговле</w:t>
      </w:r>
      <w:r w:rsidRPr="00DE600A">
        <w:rPr>
          <w:sz w:val="20"/>
          <w:szCs w:val="20"/>
        </w:rPr>
        <w:t>» (</w:t>
      </w:r>
      <w:r w:rsidR="002C1846">
        <w:rPr>
          <w:sz w:val="20"/>
          <w:szCs w:val="20"/>
        </w:rPr>
        <w:t>т</w:t>
      </w:r>
      <w:r w:rsidRPr="00DE600A">
        <w:rPr>
          <w:sz w:val="20"/>
          <w:szCs w:val="20"/>
        </w:rPr>
        <w:t>ам же, с.</w:t>
      </w:r>
      <w:r w:rsidR="002C1846">
        <w:rPr>
          <w:sz w:val="20"/>
          <w:szCs w:val="20"/>
        </w:rPr>
        <w:t xml:space="preserve"> </w:t>
      </w:r>
      <w:r w:rsidRPr="00DE600A">
        <w:rPr>
          <w:sz w:val="20"/>
          <w:szCs w:val="20"/>
        </w:rPr>
        <w:t>101).</w:t>
      </w:r>
      <w:r w:rsidR="00DE600A">
        <w:rPr>
          <w:sz w:val="20"/>
          <w:szCs w:val="20"/>
        </w:rPr>
        <w:t xml:space="preserve"> </w:t>
      </w:r>
    </w:p>
    <w:p w:rsidR="00FA3C52" w:rsidRDefault="00FA3C52" w:rsidP="00EB1B78">
      <w:pPr>
        <w:pStyle w:val="a4"/>
        <w:jc w:val="both"/>
        <w:rPr>
          <w:sz w:val="20"/>
          <w:szCs w:val="20"/>
        </w:rPr>
      </w:pPr>
    </w:p>
    <w:p w:rsidR="00EB1B78" w:rsidRDefault="00EB1B78" w:rsidP="00EB1B78">
      <w:pPr>
        <w:pStyle w:val="a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3E20"/>
    <w:multiLevelType w:val="hybridMultilevel"/>
    <w:tmpl w:val="0A465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817D0"/>
    <w:multiLevelType w:val="multilevel"/>
    <w:tmpl w:val="7B7C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D3DB2"/>
    <w:multiLevelType w:val="hybridMultilevel"/>
    <w:tmpl w:val="5C3E23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8C5234"/>
    <w:multiLevelType w:val="hybridMultilevel"/>
    <w:tmpl w:val="D478B7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8314EB"/>
    <w:multiLevelType w:val="hybridMultilevel"/>
    <w:tmpl w:val="E3F83E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5C54CF"/>
    <w:multiLevelType w:val="hybridMultilevel"/>
    <w:tmpl w:val="A4140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635166"/>
    <w:multiLevelType w:val="hybridMultilevel"/>
    <w:tmpl w:val="499EC35E"/>
    <w:lvl w:ilvl="0" w:tplc="685278A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B381F5C"/>
    <w:multiLevelType w:val="hybridMultilevel"/>
    <w:tmpl w:val="F398C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D54931"/>
    <w:multiLevelType w:val="hybridMultilevel"/>
    <w:tmpl w:val="46EE9B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D850F2"/>
    <w:multiLevelType w:val="hybridMultilevel"/>
    <w:tmpl w:val="FAE0EAFA"/>
    <w:lvl w:ilvl="0" w:tplc="4BA206E6">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0"/>
  </w:num>
  <w:num w:numId="3">
    <w:abstractNumId w:val="7"/>
  </w:num>
  <w:num w:numId="4">
    <w:abstractNumId w:val="3"/>
  </w:num>
  <w:num w:numId="5">
    <w:abstractNumId w:val="9"/>
  </w:num>
  <w:num w:numId="6">
    <w:abstractNumId w:val="6"/>
  </w:num>
  <w:num w:numId="7">
    <w:abstractNumId w:val="5"/>
  </w:num>
  <w:num w:numId="8">
    <w:abstractNumId w:val="8"/>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F275F"/>
    <w:rsid w:val="0002516E"/>
    <w:rsid w:val="00025B95"/>
    <w:rsid w:val="000412BC"/>
    <w:rsid w:val="000573D0"/>
    <w:rsid w:val="0007748A"/>
    <w:rsid w:val="000B3BE0"/>
    <w:rsid w:val="000C2E4E"/>
    <w:rsid w:val="000D4F36"/>
    <w:rsid w:val="000E06C0"/>
    <w:rsid w:val="000F275F"/>
    <w:rsid w:val="000F62B0"/>
    <w:rsid w:val="000F676E"/>
    <w:rsid w:val="0010247F"/>
    <w:rsid w:val="00117FF8"/>
    <w:rsid w:val="001320D7"/>
    <w:rsid w:val="00135A5E"/>
    <w:rsid w:val="00162474"/>
    <w:rsid w:val="001647D6"/>
    <w:rsid w:val="00185491"/>
    <w:rsid w:val="001A107F"/>
    <w:rsid w:val="001A34A5"/>
    <w:rsid w:val="001B6172"/>
    <w:rsid w:val="001B69F9"/>
    <w:rsid w:val="001C5382"/>
    <w:rsid w:val="001D1893"/>
    <w:rsid w:val="001D7231"/>
    <w:rsid w:val="001E4C15"/>
    <w:rsid w:val="002006E9"/>
    <w:rsid w:val="00204980"/>
    <w:rsid w:val="002178CA"/>
    <w:rsid w:val="00217A71"/>
    <w:rsid w:val="00230EA0"/>
    <w:rsid w:val="00257527"/>
    <w:rsid w:val="00276EE7"/>
    <w:rsid w:val="00282DCB"/>
    <w:rsid w:val="002A2E5A"/>
    <w:rsid w:val="002A311B"/>
    <w:rsid w:val="002C1846"/>
    <w:rsid w:val="002D12F3"/>
    <w:rsid w:val="002D1BDE"/>
    <w:rsid w:val="002D62CF"/>
    <w:rsid w:val="002F338D"/>
    <w:rsid w:val="002F44BA"/>
    <w:rsid w:val="00327547"/>
    <w:rsid w:val="0034618C"/>
    <w:rsid w:val="00397A48"/>
    <w:rsid w:val="003C301C"/>
    <w:rsid w:val="003D14D6"/>
    <w:rsid w:val="003F005C"/>
    <w:rsid w:val="00420FE2"/>
    <w:rsid w:val="00444385"/>
    <w:rsid w:val="00487AC1"/>
    <w:rsid w:val="004B2E88"/>
    <w:rsid w:val="004B41B9"/>
    <w:rsid w:val="004C44FD"/>
    <w:rsid w:val="004E2AFE"/>
    <w:rsid w:val="004F203B"/>
    <w:rsid w:val="004F400A"/>
    <w:rsid w:val="005072E7"/>
    <w:rsid w:val="00510065"/>
    <w:rsid w:val="005263AD"/>
    <w:rsid w:val="005539A8"/>
    <w:rsid w:val="00561C78"/>
    <w:rsid w:val="00563D94"/>
    <w:rsid w:val="00563E7C"/>
    <w:rsid w:val="00571820"/>
    <w:rsid w:val="00576A9F"/>
    <w:rsid w:val="005B263A"/>
    <w:rsid w:val="005B722F"/>
    <w:rsid w:val="005C470A"/>
    <w:rsid w:val="005F6916"/>
    <w:rsid w:val="0060275E"/>
    <w:rsid w:val="00630BD6"/>
    <w:rsid w:val="00642424"/>
    <w:rsid w:val="006444F4"/>
    <w:rsid w:val="006535E9"/>
    <w:rsid w:val="00667A4B"/>
    <w:rsid w:val="006774EF"/>
    <w:rsid w:val="006B2E07"/>
    <w:rsid w:val="006B4BBD"/>
    <w:rsid w:val="006C14C6"/>
    <w:rsid w:val="006C469B"/>
    <w:rsid w:val="006E3290"/>
    <w:rsid w:val="00711D3C"/>
    <w:rsid w:val="00721099"/>
    <w:rsid w:val="007340F7"/>
    <w:rsid w:val="00737247"/>
    <w:rsid w:val="00745808"/>
    <w:rsid w:val="00781EB6"/>
    <w:rsid w:val="00782385"/>
    <w:rsid w:val="00795386"/>
    <w:rsid w:val="007B53AB"/>
    <w:rsid w:val="007C097F"/>
    <w:rsid w:val="007C1AB8"/>
    <w:rsid w:val="007E75B5"/>
    <w:rsid w:val="007F1344"/>
    <w:rsid w:val="00825732"/>
    <w:rsid w:val="00833FA6"/>
    <w:rsid w:val="00840E8E"/>
    <w:rsid w:val="008541D3"/>
    <w:rsid w:val="00863B28"/>
    <w:rsid w:val="00875383"/>
    <w:rsid w:val="008A0747"/>
    <w:rsid w:val="008A7A71"/>
    <w:rsid w:val="008B4D02"/>
    <w:rsid w:val="008C2E73"/>
    <w:rsid w:val="008D7B64"/>
    <w:rsid w:val="008F1AB6"/>
    <w:rsid w:val="008F38F4"/>
    <w:rsid w:val="0091225A"/>
    <w:rsid w:val="00956885"/>
    <w:rsid w:val="00960E8A"/>
    <w:rsid w:val="0097768E"/>
    <w:rsid w:val="00977A2E"/>
    <w:rsid w:val="0099154B"/>
    <w:rsid w:val="009B118E"/>
    <w:rsid w:val="009C04E8"/>
    <w:rsid w:val="009C0AD5"/>
    <w:rsid w:val="009C261F"/>
    <w:rsid w:val="009D47CB"/>
    <w:rsid w:val="009E6D7C"/>
    <w:rsid w:val="00A0470A"/>
    <w:rsid w:val="00A23AA9"/>
    <w:rsid w:val="00A76239"/>
    <w:rsid w:val="00AC2AE4"/>
    <w:rsid w:val="00AD2F24"/>
    <w:rsid w:val="00AE4702"/>
    <w:rsid w:val="00B030B7"/>
    <w:rsid w:val="00B07F7A"/>
    <w:rsid w:val="00B1637F"/>
    <w:rsid w:val="00B1683D"/>
    <w:rsid w:val="00B31A84"/>
    <w:rsid w:val="00B40159"/>
    <w:rsid w:val="00B41AB1"/>
    <w:rsid w:val="00B45468"/>
    <w:rsid w:val="00B543F9"/>
    <w:rsid w:val="00B54E1C"/>
    <w:rsid w:val="00B65A5E"/>
    <w:rsid w:val="00B868AA"/>
    <w:rsid w:val="00B92ED3"/>
    <w:rsid w:val="00BB2DF5"/>
    <w:rsid w:val="00BB5F6B"/>
    <w:rsid w:val="00BC10E9"/>
    <w:rsid w:val="00BD6CD9"/>
    <w:rsid w:val="00BF0BEC"/>
    <w:rsid w:val="00BF7F78"/>
    <w:rsid w:val="00C126DB"/>
    <w:rsid w:val="00C51960"/>
    <w:rsid w:val="00C5294A"/>
    <w:rsid w:val="00C5513A"/>
    <w:rsid w:val="00C711FA"/>
    <w:rsid w:val="00C80FC5"/>
    <w:rsid w:val="00C94CA4"/>
    <w:rsid w:val="00CB1280"/>
    <w:rsid w:val="00CC6CDF"/>
    <w:rsid w:val="00CD372B"/>
    <w:rsid w:val="00CE24B9"/>
    <w:rsid w:val="00CE3EF1"/>
    <w:rsid w:val="00CE60C6"/>
    <w:rsid w:val="00CF7D9B"/>
    <w:rsid w:val="00D04ABC"/>
    <w:rsid w:val="00D12AFE"/>
    <w:rsid w:val="00D262F8"/>
    <w:rsid w:val="00D43D3F"/>
    <w:rsid w:val="00D62E61"/>
    <w:rsid w:val="00D6330F"/>
    <w:rsid w:val="00D6658E"/>
    <w:rsid w:val="00D930DC"/>
    <w:rsid w:val="00DB2357"/>
    <w:rsid w:val="00DD4218"/>
    <w:rsid w:val="00DE600A"/>
    <w:rsid w:val="00DE69D5"/>
    <w:rsid w:val="00DF4571"/>
    <w:rsid w:val="00DF6D97"/>
    <w:rsid w:val="00E074CA"/>
    <w:rsid w:val="00E3415D"/>
    <w:rsid w:val="00E344CC"/>
    <w:rsid w:val="00E34EE5"/>
    <w:rsid w:val="00E616DA"/>
    <w:rsid w:val="00E61A05"/>
    <w:rsid w:val="00E71BDC"/>
    <w:rsid w:val="00E73E28"/>
    <w:rsid w:val="00EA11AE"/>
    <w:rsid w:val="00EB1B78"/>
    <w:rsid w:val="00EC2367"/>
    <w:rsid w:val="00EC7F87"/>
    <w:rsid w:val="00F079F5"/>
    <w:rsid w:val="00F22FB7"/>
    <w:rsid w:val="00F3314A"/>
    <w:rsid w:val="00F446AE"/>
    <w:rsid w:val="00F5312B"/>
    <w:rsid w:val="00F55662"/>
    <w:rsid w:val="00F638F5"/>
    <w:rsid w:val="00F847BF"/>
    <w:rsid w:val="00F85FA5"/>
    <w:rsid w:val="00FA3C52"/>
    <w:rsid w:val="00FC29DC"/>
    <w:rsid w:val="00FC5D8E"/>
    <w:rsid w:val="00FC7C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E88"/>
  </w:style>
  <w:style w:type="paragraph" w:styleId="1">
    <w:name w:val="heading 1"/>
    <w:basedOn w:val="a"/>
    <w:next w:val="a"/>
    <w:link w:val="10"/>
    <w:uiPriority w:val="9"/>
    <w:qFormat/>
    <w:rsid w:val="006C14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82D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82DC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5294A"/>
    <w:pPr>
      <w:spacing w:before="100" w:beforeAutospacing="1" w:after="100" w:afterAutospacing="1" w:line="240" w:lineRule="auto"/>
      <w:outlineLvl w:val="3"/>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275F"/>
    <w:pPr>
      <w:spacing w:before="100" w:beforeAutospacing="1" w:after="100" w:afterAutospacing="1" w:line="240" w:lineRule="auto"/>
    </w:pPr>
    <w:rPr>
      <w:rFonts w:eastAsia="Times New Roman"/>
      <w:lang w:eastAsia="ru-RU"/>
    </w:rPr>
  </w:style>
  <w:style w:type="paragraph" w:styleId="a4">
    <w:name w:val="No Spacing"/>
    <w:uiPriority w:val="1"/>
    <w:qFormat/>
    <w:rsid w:val="00F55662"/>
    <w:pPr>
      <w:spacing w:after="0" w:line="240" w:lineRule="auto"/>
    </w:pPr>
  </w:style>
  <w:style w:type="paragraph" w:styleId="HTML">
    <w:name w:val="HTML Preformatted"/>
    <w:basedOn w:val="a"/>
    <w:link w:val="HTML0"/>
    <w:uiPriority w:val="99"/>
    <w:semiHidden/>
    <w:unhideWhenUsed/>
    <w:rsid w:val="00EC7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C7F87"/>
    <w:rPr>
      <w:rFonts w:ascii="Courier New" w:eastAsia="Times New Roman" w:hAnsi="Courier New" w:cs="Courier New"/>
      <w:sz w:val="20"/>
      <w:szCs w:val="20"/>
      <w:lang w:eastAsia="ru-RU"/>
    </w:rPr>
  </w:style>
  <w:style w:type="character" w:customStyle="1" w:styleId="40">
    <w:name w:val="Заголовок 4 Знак"/>
    <w:basedOn w:val="a0"/>
    <w:link w:val="4"/>
    <w:uiPriority w:val="9"/>
    <w:rsid w:val="00C5294A"/>
    <w:rPr>
      <w:rFonts w:eastAsia="Times New Roman"/>
      <w:b/>
      <w:bCs/>
      <w:lang w:eastAsia="ru-RU"/>
    </w:rPr>
  </w:style>
  <w:style w:type="paragraph" w:customStyle="1" w:styleId="b-articletext">
    <w:name w:val="b-article__text"/>
    <w:basedOn w:val="a"/>
    <w:rsid w:val="00C5294A"/>
    <w:pPr>
      <w:spacing w:before="100" w:beforeAutospacing="1" w:after="100" w:afterAutospacing="1" w:line="240" w:lineRule="auto"/>
    </w:pPr>
    <w:rPr>
      <w:rFonts w:eastAsia="Times New Roman"/>
      <w:lang w:eastAsia="ru-RU"/>
    </w:rPr>
  </w:style>
  <w:style w:type="character" w:customStyle="1" w:styleId="b-articleintro">
    <w:name w:val="b-article__intro"/>
    <w:basedOn w:val="a0"/>
    <w:rsid w:val="00C5294A"/>
  </w:style>
  <w:style w:type="paragraph" w:styleId="a5">
    <w:name w:val="Balloon Text"/>
    <w:basedOn w:val="a"/>
    <w:link w:val="a6"/>
    <w:uiPriority w:val="99"/>
    <w:semiHidden/>
    <w:unhideWhenUsed/>
    <w:rsid w:val="007F13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1344"/>
    <w:rPr>
      <w:rFonts w:ascii="Tahoma" w:hAnsi="Tahoma" w:cs="Tahoma"/>
      <w:sz w:val="16"/>
      <w:szCs w:val="16"/>
    </w:rPr>
  </w:style>
  <w:style w:type="paragraph" w:customStyle="1" w:styleId="Default">
    <w:name w:val="Default"/>
    <w:rsid w:val="00E73E28"/>
    <w:pPr>
      <w:autoSpaceDE w:val="0"/>
      <w:autoSpaceDN w:val="0"/>
      <w:adjustRightInd w:val="0"/>
      <w:spacing w:after="0" w:line="240" w:lineRule="auto"/>
    </w:pPr>
    <w:rPr>
      <w:color w:val="000000"/>
    </w:rPr>
  </w:style>
  <w:style w:type="paragraph" w:customStyle="1" w:styleId="Pa16">
    <w:name w:val="Pa16"/>
    <w:basedOn w:val="Default"/>
    <w:next w:val="Default"/>
    <w:uiPriority w:val="99"/>
    <w:rsid w:val="00E73E28"/>
    <w:pPr>
      <w:spacing w:line="241" w:lineRule="atLeast"/>
    </w:pPr>
    <w:rPr>
      <w:color w:val="auto"/>
    </w:rPr>
  </w:style>
  <w:style w:type="character" w:customStyle="1" w:styleId="A30">
    <w:name w:val="A3"/>
    <w:uiPriority w:val="99"/>
    <w:rsid w:val="00E73E28"/>
    <w:rPr>
      <w:color w:val="000000"/>
      <w:sz w:val="20"/>
      <w:szCs w:val="20"/>
    </w:rPr>
  </w:style>
  <w:style w:type="character" w:styleId="a7">
    <w:name w:val="footnote reference"/>
    <w:basedOn w:val="a0"/>
    <w:unhideWhenUsed/>
    <w:rsid w:val="00E73E28"/>
    <w:rPr>
      <w:vertAlign w:val="superscript"/>
    </w:rPr>
  </w:style>
  <w:style w:type="paragraph" w:styleId="a8">
    <w:name w:val="footnote text"/>
    <w:basedOn w:val="a"/>
    <w:link w:val="a9"/>
    <w:uiPriority w:val="99"/>
    <w:unhideWhenUsed/>
    <w:rsid w:val="00E73E28"/>
    <w:pPr>
      <w:spacing w:after="0" w:line="240" w:lineRule="auto"/>
    </w:pPr>
    <w:rPr>
      <w:sz w:val="20"/>
      <w:szCs w:val="20"/>
    </w:rPr>
  </w:style>
  <w:style w:type="character" w:customStyle="1" w:styleId="a9">
    <w:name w:val="Текст сноски Знак"/>
    <w:basedOn w:val="a0"/>
    <w:link w:val="a8"/>
    <w:uiPriority w:val="99"/>
    <w:rsid w:val="00E73E28"/>
    <w:rPr>
      <w:sz w:val="20"/>
      <w:szCs w:val="20"/>
    </w:rPr>
  </w:style>
  <w:style w:type="character" w:styleId="aa">
    <w:name w:val="Hyperlink"/>
    <w:basedOn w:val="a0"/>
    <w:uiPriority w:val="99"/>
    <w:unhideWhenUsed/>
    <w:rsid w:val="00E73E28"/>
    <w:rPr>
      <w:color w:val="0000FF" w:themeColor="hyperlink"/>
      <w:u w:val="single"/>
    </w:rPr>
  </w:style>
  <w:style w:type="table" w:styleId="ab">
    <w:name w:val="Table Grid"/>
    <w:basedOn w:val="a1"/>
    <w:uiPriority w:val="59"/>
    <w:rsid w:val="00E73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282DC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82DCB"/>
    <w:rPr>
      <w:rFonts w:asciiTheme="majorHAnsi" w:eastAsiaTheme="majorEastAsia" w:hAnsiTheme="majorHAnsi" w:cstheme="majorBidi"/>
      <w:b/>
      <w:bCs/>
      <w:color w:val="4F81BD" w:themeColor="accent1"/>
    </w:rPr>
  </w:style>
  <w:style w:type="character" w:styleId="ac">
    <w:name w:val="Strong"/>
    <w:basedOn w:val="a0"/>
    <w:uiPriority w:val="22"/>
    <w:qFormat/>
    <w:rsid w:val="00282DCB"/>
    <w:rPr>
      <w:b/>
      <w:bCs/>
    </w:rPr>
  </w:style>
  <w:style w:type="paragraph" w:customStyle="1" w:styleId="formattext">
    <w:name w:val="formattext"/>
    <w:basedOn w:val="a"/>
    <w:rsid w:val="00282DCB"/>
    <w:pPr>
      <w:spacing w:before="100" w:beforeAutospacing="1" w:after="100" w:afterAutospacing="1" w:line="240" w:lineRule="auto"/>
    </w:pPr>
    <w:rPr>
      <w:rFonts w:eastAsia="Times New Roman"/>
      <w:lang w:eastAsia="ru-RU"/>
    </w:rPr>
  </w:style>
  <w:style w:type="character" w:styleId="ad">
    <w:name w:val="Emphasis"/>
    <w:basedOn w:val="a0"/>
    <w:uiPriority w:val="20"/>
    <w:qFormat/>
    <w:rsid w:val="00977A2E"/>
    <w:rPr>
      <w:i/>
      <w:iCs/>
    </w:rPr>
  </w:style>
  <w:style w:type="character" w:customStyle="1" w:styleId="10">
    <w:name w:val="Заголовок 1 Знак"/>
    <w:basedOn w:val="a0"/>
    <w:link w:val="1"/>
    <w:uiPriority w:val="9"/>
    <w:rsid w:val="006C14C6"/>
    <w:rPr>
      <w:rFonts w:asciiTheme="majorHAnsi" w:eastAsiaTheme="majorEastAsia" w:hAnsiTheme="majorHAnsi" w:cstheme="majorBidi"/>
      <w:b/>
      <w:bCs/>
      <w:color w:val="365F91" w:themeColor="accent1" w:themeShade="BF"/>
      <w:sz w:val="28"/>
      <w:szCs w:val="28"/>
    </w:rPr>
  </w:style>
  <w:style w:type="paragraph" w:customStyle="1" w:styleId="11">
    <w:name w:val="Абзац списка1"/>
    <w:basedOn w:val="a"/>
    <w:rsid w:val="006C14C6"/>
    <w:pPr>
      <w:ind w:left="720"/>
      <w:contextualSpacing/>
    </w:pPr>
    <w:rPr>
      <w:rFonts w:ascii="Calibri" w:eastAsia="Times New Roman" w:hAnsi="Calibr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E88"/>
  </w:style>
  <w:style w:type="paragraph" w:styleId="1">
    <w:name w:val="heading 1"/>
    <w:basedOn w:val="a"/>
    <w:next w:val="a"/>
    <w:link w:val="10"/>
    <w:uiPriority w:val="9"/>
    <w:qFormat/>
    <w:rsid w:val="006C14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82D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82DC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5294A"/>
    <w:pPr>
      <w:spacing w:before="100" w:beforeAutospacing="1" w:after="100" w:afterAutospacing="1" w:line="240" w:lineRule="auto"/>
      <w:outlineLvl w:val="3"/>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275F"/>
    <w:pPr>
      <w:spacing w:before="100" w:beforeAutospacing="1" w:after="100" w:afterAutospacing="1" w:line="240" w:lineRule="auto"/>
    </w:pPr>
    <w:rPr>
      <w:rFonts w:eastAsia="Times New Roman"/>
      <w:lang w:eastAsia="ru-RU"/>
    </w:rPr>
  </w:style>
  <w:style w:type="paragraph" w:styleId="a4">
    <w:name w:val="No Spacing"/>
    <w:uiPriority w:val="1"/>
    <w:qFormat/>
    <w:rsid w:val="00F55662"/>
    <w:pPr>
      <w:spacing w:after="0" w:line="240" w:lineRule="auto"/>
    </w:pPr>
  </w:style>
  <w:style w:type="paragraph" w:styleId="HTML">
    <w:name w:val="HTML Preformatted"/>
    <w:basedOn w:val="a"/>
    <w:link w:val="HTML0"/>
    <w:uiPriority w:val="99"/>
    <w:semiHidden/>
    <w:unhideWhenUsed/>
    <w:rsid w:val="00EC7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C7F87"/>
    <w:rPr>
      <w:rFonts w:ascii="Courier New" w:eastAsia="Times New Roman" w:hAnsi="Courier New" w:cs="Courier New"/>
      <w:sz w:val="20"/>
      <w:szCs w:val="20"/>
      <w:lang w:eastAsia="ru-RU"/>
    </w:rPr>
  </w:style>
  <w:style w:type="character" w:customStyle="1" w:styleId="40">
    <w:name w:val="Заголовок 4 Знак"/>
    <w:basedOn w:val="a0"/>
    <w:link w:val="4"/>
    <w:uiPriority w:val="9"/>
    <w:rsid w:val="00C5294A"/>
    <w:rPr>
      <w:rFonts w:eastAsia="Times New Roman"/>
      <w:b/>
      <w:bCs/>
      <w:lang w:eastAsia="ru-RU"/>
    </w:rPr>
  </w:style>
  <w:style w:type="paragraph" w:customStyle="1" w:styleId="b-articletext">
    <w:name w:val="b-article__text"/>
    <w:basedOn w:val="a"/>
    <w:rsid w:val="00C5294A"/>
    <w:pPr>
      <w:spacing w:before="100" w:beforeAutospacing="1" w:after="100" w:afterAutospacing="1" w:line="240" w:lineRule="auto"/>
    </w:pPr>
    <w:rPr>
      <w:rFonts w:eastAsia="Times New Roman"/>
      <w:lang w:eastAsia="ru-RU"/>
    </w:rPr>
  </w:style>
  <w:style w:type="character" w:customStyle="1" w:styleId="b-articleintro">
    <w:name w:val="b-article__intro"/>
    <w:basedOn w:val="a0"/>
    <w:rsid w:val="00C5294A"/>
  </w:style>
  <w:style w:type="paragraph" w:styleId="a5">
    <w:name w:val="Balloon Text"/>
    <w:basedOn w:val="a"/>
    <w:link w:val="a6"/>
    <w:uiPriority w:val="99"/>
    <w:semiHidden/>
    <w:unhideWhenUsed/>
    <w:rsid w:val="007F13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1344"/>
    <w:rPr>
      <w:rFonts w:ascii="Tahoma" w:hAnsi="Tahoma" w:cs="Tahoma"/>
      <w:sz w:val="16"/>
      <w:szCs w:val="16"/>
    </w:rPr>
  </w:style>
  <w:style w:type="paragraph" w:customStyle="1" w:styleId="Default">
    <w:name w:val="Default"/>
    <w:rsid w:val="00E73E28"/>
    <w:pPr>
      <w:autoSpaceDE w:val="0"/>
      <w:autoSpaceDN w:val="0"/>
      <w:adjustRightInd w:val="0"/>
      <w:spacing w:after="0" w:line="240" w:lineRule="auto"/>
    </w:pPr>
    <w:rPr>
      <w:color w:val="000000"/>
    </w:rPr>
  </w:style>
  <w:style w:type="paragraph" w:customStyle="1" w:styleId="Pa16">
    <w:name w:val="Pa16"/>
    <w:basedOn w:val="Default"/>
    <w:next w:val="Default"/>
    <w:uiPriority w:val="99"/>
    <w:rsid w:val="00E73E28"/>
    <w:pPr>
      <w:spacing w:line="241" w:lineRule="atLeast"/>
    </w:pPr>
    <w:rPr>
      <w:color w:val="auto"/>
    </w:rPr>
  </w:style>
  <w:style w:type="character" w:customStyle="1" w:styleId="A30">
    <w:name w:val="A3"/>
    <w:uiPriority w:val="99"/>
    <w:rsid w:val="00E73E28"/>
    <w:rPr>
      <w:color w:val="000000"/>
      <w:sz w:val="20"/>
      <w:szCs w:val="20"/>
    </w:rPr>
  </w:style>
  <w:style w:type="character" w:styleId="a7">
    <w:name w:val="footnote reference"/>
    <w:basedOn w:val="a0"/>
    <w:unhideWhenUsed/>
    <w:rsid w:val="00E73E28"/>
    <w:rPr>
      <w:vertAlign w:val="superscript"/>
    </w:rPr>
  </w:style>
  <w:style w:type="paragraph" w:styleId="a8">
    <w:name w:val="footnote text"/>
    <w:basedOn w:val="a"/>
    <w:link w:val="a9"/>
    <w:uiPriority w:val="99"/>
    <w:unhideWhenUsed/>
    <w:rsid w:val="00E73E28"/>
    <w:pPr>
      <w:spacing w:after="0" w:line="240" w:lineRule="auto"/>
    </w:pPr>
    <w:rPr>
      <w:sz w:val="20"/>
      <w:szCs w:val="20"/>
    </w:rPr>
  </w:style>
  <w:style w:type="character" w:customStyle="1" w:styleId="a9">
    <w:name w:val="Текст сноски Знак"/>
    <w:basedOn w:val="a0"/>
    <w:link w:val="a8"/>
    <w:uiPriority w:val="99"/>
    <w:rsid w:val="00E73E28"/>
    <w:rPr>
      <w:sz w:val="20"/>
      <w:szCs w:val="20"/>
    </w:rPr>
  </w:style>
  <w:style w:type="character" w:styleId="aa">
    <w:name w:val="Hyperlink"/>
    <w:basedOn w:val="a0"/>
    <w:uiPriority w:val="99"/>
    <w:unhideWhenUsed/>
    <w:rsid w:val="00E73E28"/>
    <w:rPr>
      <w:color w:val="0000FF" w:themeColor="hyperlink"/>
      <w:u w:val="single"/>
    </w:rPr>
  </w:style>
  <w:style w:type="table" w:styleId="ab">
    <w:name w:val="Table Grid"/>
    <w:basedOn w:val="a1"/>
    <w:uiPriority w:val="59"/>
    <w:rsid w:val="00E73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82DC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82DCB"/>
    <w:rPr>
      <w:rFonts w:asciiTheme="majorHAnsi" w:eastAsiaTheme="majorEastAsia" w:hAnsiTheme="majorHAnsi" w:cstheme="majorBidi"/>
      <w:b/>
      <w:bCs/>
      <w:color w:val="4F81BD" w:themeColor="accent1"/>
    </w:rPr>
  </w:style>
  <w:style w:type="character" w:styleId="ac">
    <w:name w:val="Strong"/>
    <w:basedOn w:val="a0"/>
    <w:uiPriority w:val="22"/>
    <w:qFormat/>
    <w:rsid w:val="00282DCB"/>
    <w:rPr>
      <w:b/>
      <w:bCs/>
    </w:rPr>
  </w:style>
  <w:style w:type="paragraph" w:customStyle="1" w:styleId="formattext">
    <w:name w:val="formattext"/>
    <w:basedOn w:val="a"/>
    <w:rsid w:val="00282DCB"/>
    <w:pPr>
      <w:spacing w:before="100" w:beforeAutospacing="1" w:after="100" w:afterAutospacing="1" w:line="240" w:lineRule="auto"/>
    </w:pPr>
    <w:rPr>
      <w:rFonts w:eastAsia="Times New Roman"/>
      <w:lang w:eastAsia="ru-RU"/>
    </w:rPr>
  </w:style>
  <w:style w:type="character" w:styleId="ad">
    <w:name w:val="Emphasis"/>
    <w:basedOn w:val="a0"/>
    <w:uiPriority w:val="20"/>
    <w:qFormat/>
    <w:rsid w:val="00977A2E"/>
    <w:rPr>
      <w:i/>
      <w:iCs/>
    </w:rPr>
  </w:style>
  <w:style w:type="character" w:customStyle="1" w:styleId="10">
    <w:name w:val="Заголовок 1 Знак"/>
    <w:basedOn w:val="a0"/>
    <w:link w:val="1"/>
    <w:uiPriority w:val="9"/>
    <w:rsid w:val="006C14C6"/>
    <w:rPr>
      <w:rFonts w:asciiTheme="majorHAnsi" w:eastAsiaTheme="majorEastAsia" w:hAnsiTheme="majorHAnsi" w:cstheme="majorBidi"/>
      <w:b/>
      <w:bCs/>
      <w:color w:val="365F91" w:themeColor="accent1" w:themeShade="BF"/>
      <w:sz w:val="28"/>
      <w:szCs w:val="28"/>
    </w:rPr>
  </w:style>
  <w:style w:type="paragraph" w:customStyle="1" w:styleId="11">
    <w:name w:val="Абзац списка1"/>
    <w:basedOn w:val="a"/>
    <w:rsid w:val="006C14C6"/>
    <w:pPr>
      <w:ind w:left="720"/>
      <w:contextualSpacing/>
    </w:pPr>
    <w:rPr>
      <w:rFonts w:ascii="Calibri" w:eastAsia="Times New Roman" w:hAnsi="Calibri"/>
      <w:sz w:val="22"/>
      <w:szCs w:val="22"/>
      <w:lang w:eastAsia="ru-RU"/>
    </w:rPr>
  </w:style>
</w:styles>
</file>

<file path=word/webSettings.xml><?xml version="1.0" encoding="utf-8"?>
<w:webSettings xmlns:r="http://schemas.openxmlformats.org/officeDocument/2006/relationships" xmlns:w="http://schemas.openxmlformats.org/wordprocessingml/2006/main">
  <w:divs>
    <w:div w:id="90901147">
      <w:bodyDiv w:val="1"/>
      <w:marLeft w:val="0"/>
      <w:marRight w:val="0"/>
      <w:marTop w:val="0"/>
      <w:marBottom w:val="0"/>
      <w:divBdr>
        <w:top w:val="none" w:sz="0" w:space="0" w:color="auto"/>
        <w:left w:val="none" w:sz="0" w:space="0" w:color="auto"/>
        <w:bottom w:val="none" w:sz="0" w:space="0" w:color="auto"/>
        <w:right w:val="none" w:sz="0" w:space="0" w:color="auto"/>
      </w:divBdr>
    </w:div>
    <w:div w:id="172647728">
      <w:bodyDiv w:val="1"/>
      <w:marLeft w:val="0"/>
      <w:marRight w:val="0"/>
      <w:marTop w:val="0"/>
      <w:marBottom w:val="0"/>
      <w:divBdr>
        <w:top w:val="none" w:sz="0" w:space="0" w:color="auto"/>
        <w:left w:val="none" w:sz="0" w:space="0" w:color="auto"/>
        <w:bottom w:val="none" w:sz="0" w:space="0" w:color="auto"/>
        <w:right w:val="none" w:sz="0" w:space="0" w:color="auto"/>
      </w:divBdr>
    </w:div>
    <w:div w:id="325744386">
      <w:bodyDiv w:val="1"/>
      <w:marLeft w:val="0"/>
      <w:marRight w:val="0"/>
      <w:marTop w:val="0"/>
      <w:marBottom w:val="0"/>
      <w:divBdr>
        <w:top w:val="none" w:sz="0" w:space="0" w:color="auto"/>
        <w:left w:val="none" w:sz="0" w:space="0" w:color="auto"/>
        <w:bottom w:val="none" w:sz="0" w:space="0" w:color="auto"/>
        <w:right w:val="none" w:sz="0" w:space="0" w:color="auto"/>
      </w:divBdr>
    </w:div>
    <w:div w:id="333842081">
      <w:bodyDiv w:val="1"/>
      <w:marLeft w:val="0"/>
      <w:marRight w:val="0"/>
      <w:marTop w:val="0"/>
      <w:marBottom w:val="0"/>
      <w:divBdr>
        <w:top w:val="none" w:sz="0" w:space="0" w:color="auto"/>
        <w:left w:val="none" w:sz="0" w:space="0" w:color="auto"/>
        <w:bottom w:val="none" w:sz="0" w:space="0" w:color="auto"/>
        <w:right w:val="none" w:sz="0" w:space="0" w:color="auto"/>
      </w:divBdr>
    </w:div>
    <w:div w:id="344790681">
      <w:bodyDiv w:val="1"/>
      <w:marLeft w:val="0"/>
      <w:marRight w:val="0"/>
      <w:marTop w:val="0"/>
      <w:marBottom w:val="0"/>
      <w:divBdr>
        <w:top w:val="none" w:sz="0" w:space="0" w:color="auto"/>
        <w:left w:val="none" w:sz="0" w:space="0" w:color="auto"/>
        <w:bottom w:val="none" w:sz="0" w:space="0" w:color="auto"/>
        <w:right w:val="none" w:sz="0" w:space="0" w:color="auto"/>
      </w:divBdr>
    </w:div>
    <w:div w:id="363944520">
      <w:bodyDiv w:val="1"/>
      <w:marLeft w:val="0"/>
      <w:marRight w:val="0"/>
      <w:marTop w:val="0"/>
      <w:marBottom w:val="0"/>
      <w:divBdr>
        <w:top w:val="none" w:sz="0" w:space="0" w:color="auto"/>
        <w:left w:val="none" w:sz="0" w:space="0" w:color="auto"/>
        <w:bottom w:val="none" w:sz="0" w:space="0" w:color="auto"/>
        <w:right w:val="none" w:sz="0" w:space="0" w:color="auto"/>
      </w:divBdr>
      <w:divsChild>
        <w:div w:id="1469203221">
          <w:marLeft w:val="0"/>
          <w:marRight w:val="0"/>
          <w:marTop w:val="0"/>
          <w:marBottom w:val="0"/>
          <w:divBdr>
            <w:top w:val="none" w:sz="0" w:space="0" w:color="auto"/>
            <w:left w:val="none" w:sz="0" w:space="0" w:color="auto"/>
            <w:bottom w:val="none" w:sz="0" w:space="0" w:color="auto"/>
            <w:right w:val="none" w:sz="0" w:space="0" w:color="auto"/>
          </w:divBdr>
          <w:divsChild>
            <w:div w:id="104156064">
              <w:marLeft w:val="0"/>
              <w:marRight w:val="0"/>
              <w:marTop w:val="0"/>
              <w:marBottom w:val="0"/>
              <w:divBdr>
                <w:top w:val="none" w:sz="0" w:space="0" w:color="auto"/>
                <w:left w:val="none" w:sz="0" w:space="0" w:color="auto"/>
                <w:bottom w:val="none" w:sz="0" w:space="0" w:color="auto"/>
                <w:right w:val="none" w:sz="0" w:space="0" w:color="auto"/>
              </w:divBdr>
            </w:div>
          </w:divsChild>
        </w:div>
        <w:div w:id="271940057">
          <w:marLeft w:val="0"/>
          <w:marRight w:val="0"/>
          <w:marTop w:val="0"/>
          <w:marBottom w:val="0"/>
          <w:divBdr>
            <w:top w:val="none" w:sz="0" w:space="0" w:color="auto"/>
            <w:left w:val="none" w:sz="0" w:space="0" w:color="auto"/>
            <w:bottom w:val="none" w:sz="0" w:space="0" w:color="auto"/>
            <w:right w:val="none" w:sz="0" w:space="0" w:color="auto"/>
          </w:divBdr>
          <w:divsChild>
            <w:div w:id="346637517">
              <w:marLeft w:val="0"/>
              <w:marRight w:val="0"/>
              <w:marTop w:val="0"/>
              <w:marBottom w:val="0"/>
              <w:divBdr>
                <w:top w:val="none" w:sz="0" w:space="0" w:color="auto"/>
                <w:left w:val="none" w:sz="0" w:space="0" w:color="auto"/>
                <w:bottom w:val="none" w:sz="0" w:space="0" w:color="auto"/>
                <w:right w:val="none" w:sz="0" w:space="0" w:color="auto"/>
              </w:divBdr>
              <w:divsChild>
                <w:div w:id="4736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02779">
      <w:bodyDiv w:val="1"/>
      <w:marLeft w:val="0"/>
      <w:marRight w:val="0"/>
      <w:marTop w:val="0"/>
      <w:marBottom w:val="0"/>
      <w:divBdr>
        <w:top w:val="none" w:sz="0" w:space="0" w:color="auto"/>
        <w:left w:val="none" w:sz="0" w:space="0" w:color="auto"/>
        <w:bottom w:val="none" w:sz="0" w:space="0" w:color="auto"/>
        <w:right w:val="none" w:sz="0" w:space="0" w:color="auto"/>
      </w:divBdr>
    </w:div>
    <w:div w:id="754404183">
      <w:bodyDiv w:val="1"/>
      <w:marLeft w:val="0"/>
      <w:marRight w:val="0"/>
      <w:marTop w:val="0"/>
      <w:marBottom w:val="0"/>
      <w:divBdr>
        <w:top w:val="none" w:sz="0" w:space="0" w:color="auto"/>
        <w:left w:val="none" w:sz="0" w:space="0" w:color="auto"/>
        <w:bottom w:val="none" w:sz="0" w:space="0" w:color="auto"/>
        <w:right w:val="none" w:sz="0" w:space="0" w:color="auto"/>
      </w:divBdr>
    </w:div>
    <w:div w:id="1312639276">
      <w:bodyDiv w:val="1"/>
      <w:marLeft w:val="0"/>
      <w:marRight w:val="0"/>
      <w:marTop w:val="0"/>
      <w:marBottom w:val="0"/>
      <w:divBdr>
        <w:top w:val="none" w:sz="0" w:space="0" w:color="auto"/>
        <w:left w:val="none" w:sz="0" w:space="0" w:color="auto"/>
        <w:bottom w:val="none" w:sz="0" w:space="0" w:color="auto"/>
        <w:right w:val="none" w:sz="0" w:space="0" w:color="auto"/>
      </w:divBdr>
    </w:div>
    <w:div w:id="1507357577">
      <w:bodyDiv w:val="1"/>
      <w:marLeft w:val="0"/>
      <w:marRight w:val="0"/>
      <w:marTop w:val="0"/>
      <w:marBottom w:val="0"/>
      <w:divBdr>
        <w:top w:val="none" w:sz="0" w:space="0" w:color="auto"/>
        <w:left w:val="none" w:sz="0" w:space="0" w:color="auto"/>
        <w:bottom w:val="none" w:sz="0" w:space="0" w:color="auto"/>
        <w:right w:val="none" w:sz="0" w:space="0" w:color="auto"/>
      </w:divBdr>
    </w:div>
    <w:div w:id="1699619369">
      <w:bodyDiv w:val="1"/>
      <w:marLeft w:val="0"/>
      <w:marRight w:val="0"/>
      <w:marTop w:val="0"/>
      <w:marBottom w:val="0"/>
      <w:divBdr>
        <w:top w:val="none" w:sz="0" w:space="0" w:color="auto"/>
        <w:left w:val="none" w:sz="0" w:space="0" w:color="auto"/>
        <w:bottom w:val="none" w:sz="0" w:space="0" w:color="auto"/>
        <w:right w:val="none" w:sz="0" w:space="0" w:color="auto"/>
      </w:divBdr>
    </w:div>
    <w:div w:id="186439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D:\MyDocs\&#1056;&#1072;&#1073;&#1086;&#1090;&#1072;_2016\&#1057;&#1090;&#1072;&#1090;&#1080;&#1089;&#1090;&#1080;&#1082;&#1072;\&#1044;&#1083;&#1103;%20&#1089;&#1090;&#1072;&#1090;&#1100;&#1080;%20&#1086;%20&#1082;&#1088;&#1077;&#1076;%20&#1087;&#1086;&#1090;&#1077;&#1085;&#1094;&#1080;&#1072;&#1083;&#1077;%20&#1085;&#1072;&#1089;&#1077;&#1083;&#1077;&#1085;&#1080;&#11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yDocs\&#1056;&#1072;&#1073;&#1086;&#1090;&#1072;_2016\&#1057;&#1090;&#1072;&#1090;&#1080;&#1089;&#1090;&#1080;&#1082;&#1072;\&#1044;&#1083;&#1103;%20&#1089;&#1090;&#1072;&#1090;&#1100;&#1080;%20&#1086;%20&#1082;&#1088;&#1077;&#1076;%20&#1087;&#1086;&#1090;&#1077;&#1085;&#1094;&#1080;&#1072;&#1083;&#1077;%20&#1085;&#1072;&#1089;&#1077;&#1083;&#1077;&#1085;&#1080;&#11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yDocs\&#1056;&#1072;&#1073;&#1086;&#1090;&#1072;_2016\&#1057;&#1090;&#1072;&#1090;&#1080;&#1089;&#1090;&#1080;&#1082;&#1072;\&#1044;&#1083;&#1103;%20&#1089;&#1090;&#1072;&#1090;&#1100;&#1080;%20&#1086;%20&#1082;&#1088;&#1077;&#1076;%20&#1087;&#1086;&#1090;&#1077;&#1085;&#1094;&#1080;&#1072;&#1083;&#1077;%20&#1085;&#1072;&#1089;&#1077;&#1083;&#1077;&#1085;&#1080;&#110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yDocs\&#1056;&#1072;&#1073;&#1086;&#1090;&#1072;_2016\&#1057;&#1090;&#1072;&#1090;&#1080;&#1089;&#1090;&#1080;&#1082;&#1072;\&#1044;&#1083;&#1103;%20&#1089;&#1090;&#1072;&#1090;&#1100;&#1080;%20&#1086;%20&#1082;&#1088;&#1077;&#1076;%20&#1087;&#1086;&#1090;&#1077;&#1085;&#1094;&#1080;&#1072;&#1083;&#1077;%20&#1085;&#1072;&#1089;&#1077;&#1083;&#1077;&#1085;&#1080;&#110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MyDocs\&#1056;&#1072;&#1073;&#1086;&#1090;&#1072;_2016\&#1057;&#1090;&#1072;&#1090;&#1080;&#1089;&#1090;&#1080;&#1082;&#1072;\&#1044;&#1083;&#1103;%20&#1089;&#1090;&#1072;&#1090;&#1100;&#1080;%20&#1086;%20&#1082;&#1088;&#1077;&#1076;%20&#1087;&#1086;&#1090;&#1077;&#1085;&#1094;&#1080;&#1072;&#1083;&#1077;%20&#1085;&#1072;&#1089;&#1077;&#1083;&#1077;&#1085;&#1080;&#110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MyDocs\&#1056;&#1072;&#1073;&#1086;&#1090;&#1072;_2016\&#1057;&#1090;&#1072;&#1090;&#1080;&#1089;&#1090;&#1080;&#1082;&#1072;\&#1044;&#1083;&#1103;%20&#1089;&#1090;&#1072;&#1090;&#1100;&#1080;%20&#1086;%20&#1082;&#1088;&#1077;&#1076;%20&#1087;&#1086;&#1090;&#1077;&#1085;&#1094;&#1080;&#1072;&#1083;&#1077;%20&#1085;&#1072;&#1089;&#1077;&#1083;&#1077;&#1085;&#1080;&#110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MyDocs\&#1056;&#1072;&#1073;&#1086;&#1090;&#1072;_2016\&#1057;&#1090;&#1072;&#1090;&#1080;&#1089;&#1090;&#1080;&#1082;&#1072;\&#1044;&#1083;&#1103;%20&#1089;&#1090;&#1072;&#1090;&#1100;&#1080;%20&#1086;%20&#1082;&#1088;&#1077;&#1076;%20&#1087;&#1086;&#1090;&#1077;&#1085;&#1094;&#1080;&#1072;&#1083;&#1077;%20&#1085;&#1072;&#1089;&#1077;&#1083;&#1077;&#1085;&#1080;&#11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2824090435733272E-2"/>
          <c:y val="7.8122177855730168E-2"/>
          <c:w val="0.52693062420825154"/>
          <c:h val="0.78791041450008026"/>
        </c:manualLayout>
      </c:layout>
      <c:doughnutChart>
        <c:varyColors val="1"/>
        <c:ser>
          <c:idx val="0"/>
          <c:order val="0"/>
          <c:tx>
            <c:strRef>
              <c:f>'Тер структура КЗ'!$J$205</c:f>
              <c:strCache>
                <c:ptCount val="1"/>
                <c:pt idx="0">
                  <c:v>2010 г.</c:v>
                </c:pt>
              </c:strCache>
            </c:strRef>
          </c:tx>
          <c:spPr>
            <a:ln>
              <a:solidFill>
                <a:prstClr val="black"/>
              </a:solidFill>
            </a:ln>
          </c:spPr>
          <c:dLbls>
            <c:dLbl>
              <c:idx val="0"/>
              <c:tx>
                <c:rich>
                  <a:bodyPr/>
                  <a:lstStyle/>
                  <a:p>
                    <a:r>
                      <a:rPr lang="en-US"/>
                      <a:t>30%</a:t>
                    </a:r>
                  </a:p>
                </c:rich>
              </c:tx>
              <c:showVal val="1"/>
              <c:showPercent val="1"/>
            </c:dLbl>
            <c:dLbl>
              <c:idx val="1"/>
              <c:layout>
                <c:manualLayout>
                  <c:x val="1.2139605462822459E-2"/>
                  <c:y val="-5.0314465408805124E-2"/>
                </c:manualLayout>
              </c:layout>
              <c:tx>
                <c:rich>
                  <a:bodyPr/>
                  <a:lstStyle/>
                  <a:p>
                    <a:r>
                      <a:rPr lang="en-US"/>
                      <a:t>11%</a:t>
                    </a:r>
                  </a:p>
                </c:rich>
              </c:tx>
              <c:showVal val="1"/>
              <c:showPercent val="1"/>
            </c:dLbl>
            <c:dLbl>
              <c:idx val="2"/>
              <c:layout>
                <c:manualLayout>
                  <c:x val="1.6186140617096688E-2"/>
                  <c:y val="-3.1446540880503498E-2"/>
                </c:manualLayout>
              </c:layout>
              <c:tx>
                <c:rich>
                  <a:bodyPr/>
                  <a:lstStyle/>
                  <a:p>
                    <a:r>
                      <a:rPr lang="en-US"/>
                      <a:t>7%</a:t>
                    </a:r>
                  </a:p>
                </c:rich>
              </c:tx>
              <c:showVal val="1"/>
              <c:showPercent val="1"/>
            </c:dLbl>
            <c:dLbl>
              <c:idx val="3"/>
              <c:tx>
                <c:rich>
                  <a:bodyPr/>
                  <a:lstStyle/>
                  <a:p>
                    <a:r>
                      <a:rPr lang="en-US"/>
                      <a:t>2%</a:t>
                    </a:r>
                  </a:p>
                </c:rich>
              </c:tx>
              <c:showVal val="1"/>
              <c:showPercent val="1"/>
            </c:dLbl>
            <c:dLbl>
              <c:idx val="4"/>
              <c:tx>
                <c:rich>
                  <a:bodyPr/>
                  <a:lstStyle/>
                  <a:p>
                    <a:r>
                      <a:rPr lang="en-US"/>
                      <a:t>18%</a:t>
                    </a:r>
                  </a:p>
                </c:rich>
              </c:tx>
              <c:showVal val="1"/>
              <c:showPercent val="1"/>
            </c:dLbl>
            <c:dLbl>
              <c:idx val="5"/>
              <c:layout>
                <c:manualLayout>
                  <c:x val="2.0232675771371155E-3"/>
                  <c:y val="5.6603773584905683E-2"/>
                </c:manualLayout>
              </c:layout>
              <c:tx>
                <c:rich>
                  <a:bodyPr/>
                  <a:lstStyle/>
                  <a:p>
                    <a:r>
                      <a:rPr lang="en-US"/>
                      <a:t>12%</a:t>
                    </a:r>
                  </a:p>
                </c:rich>
              </c:tx>
              <c:showVal val="1"/>
              <c:showPercent val="1"/>
            </c:dLbl>
            <c:dLbl>
              <c:idx val="6"/>
              <c:tx>
                <c:rich>
                  <a:bodyPr/>
                  <a:lstStyle/>
                  <a:p>
                    <a:r>
                      <a:rPr lang="en-US"/>
                      <a:t>16%</a:t>
                    </a:r>
                  </a:p>
                </c:rich>
              </c:tx>
              <c:showVal val="1"/>
              <c:showPercent val="1"/>
            </c:dLbl>
            <c:dLbl>
              <c:idx val="7"/>
              <c:tx>
                <c:rich>
                  <a:bodyPr/>
                  <a:lstStyle/>
                  <a:p>
                    <a:r>
                      <a:rPr lang="en-US"/>
                      <a:t>4%</a:t>
                    </a:r>
                  </a:p>
                </c:rich>
              </c:tx>
              <c:showVal val="1"/>
              <c:showPercent val="1"/>
            </c:dLbl>
            <c:spPr>
              <a:solidFill>
                <a:sysClr val="window" lastClr="FFFFFF"/>
              </a:solidFill>
              <a:ln>
                <a:solidFill>
                  <a:sysClr val="windowText" lastClr="000000"/>
                </a:solidFill>
              </a:ln>
            </c:spPr>
            <c:showVal val="1"/>
            <c:showPercent val="1"/>
            <c:showLeaderLines val="1"/>
          </c:dLbls>
          <c:cat>
            <c:strRef>
              <c:f>'Тер структура КЗ'!$I$206:$I$213</c:f>
              <c:strCache>
                <c:ptCount val="8"/>
                <c:pt idx="0">
                  <c:v>Центральный</c:v>
                </c:pt>
                <c:pt idx="1">
                  <c:v>Северо-Западный</c:v>
                </c:pt>
                <c:pt idx="2">
                  <c:v>Южный</c:v>
                </c:pt>
                <c:pt idx="3">
                  <c:v>Северо-Кавказский</c:v>
                </c:pt>
                <c:pt idx="4">
                  <c:v>Приволжский</c:v>
                </c:pt>
                <c:pt idx="5">
                  <c:v>Уральский</c:v>
                </c:pt>
                <c:pt idx="6">
                  <c:v>Сибирский</c:v>
                </c:pt>
                <c:pt idx="7">
                  <c:v>Дальневосточный</c:v>
                </c:pt>
              </c:strCache>
            </c:strRef>
          </c:cat>
          <c:val>
            <c:numRef>
              <c:f>'Тер структура КЗ'!$J$206:$J$213</c:f>
              <c:numCache>
                <c:formatCode>0.00</c:formatCode>
                <c:ptCount val="8"/>
                <c:pt idx="0">
                  <c:v>30.255557610992916</c:v>
                </c:pt>
                <c:pt idx="1">
                  <c:v>10.956423074882522</c:v>
                </c:pt>
                <c:pt idx="2">
                  <c:v>7.3135081253559786</c:v>
                </c:pt>
                <c:pt idx="3">
                  <c:v>2.1848113908533286</c:v>
                </c:pt>
                <c:pt idx="4">
                  <c:v>18.409753964147892</c:v>
                </c:pt>
                <c:pt idx="5">
                  <c:v>11.41061546999509</c:v>
                </c:pt>
                <c:pt idx="6">
                  <c:v>15.431846297700424</c:v>
                </c:pt>
                <c:pt idx="7">
                  <c:v>4.0374840660717615</c:v>
                </c:pt>
              </c:numCache>
            </c:numRef>
          </c:val>
        </c:ser>
        <c:ser>
          <c:idx val="1"/>
          <c:order val="1"/>
          <c:tx>
            <c:strRef>
              <c:f>'Тер структура КЗ'!$K$205</c:f>
              <c:strCache>
                <c:ptCount val="1"/>
                <c:pt idx="0">
                  <c:v>2016 г.</c:v>
                </c:pt>
              </c:strCache>
            </c:strRef>
          </c:tx>
          <c:spPr>
            <a:ln>
              <a:solidFill>
                <a:schemeClr val="tx1"/>
              </a:solidFill>
            </a:ln>
          </c:spPr>
          <c:dLbls>
            <c:dLbl>
              <c:idx val="0"/>
              <c:tx>
                <c:rich>
                  <a:bodyPr/>
                  <a:lstStyle/>
                  <a:p>
                    <a:r>
                      <a:rPr lang="en-US"/>
                      <a:t>29%</a:t>
                    </a:r>
                  </a:p>
                </c:rich>
              </c:tx>
              <c:showVal val="1"/>
              <c:showPercent val="1"/>
            </c:dLbl>
            <c:dLbl>
              <c:idx val="1"/>
              <c:tx>
                <c:rich>
                  <a:bodyPr/>
                  <a:lstStyle/>
                  <a:p>
                    <a:r>
                      <a:rPr lang="en-US"/>
                      <a:t>11%</a:t>
                    </a:r>
                  </a:p>
                </c:rich>
              </c:tx>
              <c:showVal val="1"/>
              <c:showPercent val="1"/>
            </c:dLbl>
            <c:dLbl>
              <c:idx val="2"/>
              <c:layout>
                <c:manualLayout>
                  <c:x val="3.0349013657056355E-2"/>
                  <c:y val="0"/>
                </c:manualLayout>
              </c:layout>
              <c:tx>
                <c:rich>
                  <a:bodyPr/>
                  <a:lstStyle/>
                  <a:p>
                    <a:r>
                      <a:rPr lang="en-US"/>
                      <a:t>8%</a:t>
                    </a:r>
                  </a:p>
                </c:rich>
              </c:tx>
              <c:showVal val="1"/>
              <c:showPercent val="1"/>
            </c:dLbl>
            <c:dLbl>
              <c:idx val="3"/>
              <c:tx>
                <c:rich>
                  <a:bodyPr/>
                  <a:lstStyle/>
                  <a:p>
                    <a:r>
                      <a:rPr lang="en-US"/>
                      <a:t>3%</a:t>
                    </a:r>
                  </a:p>
                </c:rich>
              </c:tx>
              <c:showVal val="1"/>
              <c:showPercent val="1"/>
            </c:dLbl>
            <c:dLbl>
              <c:idx val="4"/>
              <c:tx>
                <c:rich>
                  <a:bodyPr/>
                  <a:lstStyle/>
                  <a:p>
                    <a:r>
                      <a:rPr lang="en-US"/>
                      <a:t>18%</a:t>
                    </a:r>
                  </a:p>
                </c:rich>
              </c:tx>
              <c:showVal val="1"/>
              <c:showPercent val="1"/>
            </c:dLbl>
            <c:dLbl>
              <c:idx val="5"/>
              <c:tx>
                <c:rich>
                  <a:bodyPr/>
                  <a:lstStyle/>
                  <a:p>
                    <a:r>
                      <a:rPr lang="en-US"/>
                      <a:t>12%</a:t>
                    </a:r>
                  </a:p>
                </c:rich>
              </c:tx>
              <c:showVal val="1"/>
              <c:showPercent val="1"/>
            </c:dLbl>
            <c:dLbl>
              <c:idx val="6"/>
              <c:tx>
                <c:rich>
                  <a:bodyPr/>
                  <a:lstStyle/>
                  <a:p>
                    <a:r>
                      <a:rPr lang="en-US"/>
                      <a:t>14%</a:t>
                    </a:r>
                  </a:p>
                </c:rich>
              </c:tx>
              <c:showVal val="1"/>
              <c:showPercent val="1"/>
            </c:dLbl>
            <c:dLbl>
              <c:idx val="7"/>
              <c:tx>
                <c:rich>
                  <a:bodyPr/>
                  <a:lstStyle/>
                  <a:p>
                    <a:r>
                      <a:rPr lang="en-US"/>
                      <a:t>5%</a:t>
                    </a:r>
                  </a:p>
                </c:rich>
              </c:tx>
              <c:showVal val="1"/>
              <c:showPercent val="1"/>
            </c:dLbl>
            <c:numFmt formatCode="General" sourceLinked="0"/>
            <c:spPr>
              <a:solidFill>
                <a:schemeClr val="bg1"/>
              </a:solidFill>
              <a:ln>
                <a:solidFill>
                  <a:schemeClr val="tx1"/>
                </a:solidFill>
              </a:ln>
            </c:spPr>
            <c:showVal val="1"/>
            <c:showPercent val="1"/>
            <c:showLeaderLines val="1"/>
          </c:dLbls>
          <c:cat>
            <c:strRef>
              <c:f>'Тер структура КЗ'!$I$206:$I$213</c:f>
              <c:strCache>
                <c:ptCount val="8"/>
                <c:pt idx="0">
                  <c:v>Центральный</c:v>
                </c:pt>
                <c:pt idx="1">
                  <c:v>Северо-Западный</c:v>
                </c:pt>
                <c:pt idx="2">
                  <c:v>Южный</c:v>
                </c:pt>
                <c:pt idx="3">
                  <c:v>Северо-Кавказский</c:v>
                </c:pt>
                <c:pt idx="4">
                  <c:v>Приволжский</c:v>
                </c:pt>
                <c:pt idx="5">
                  <c:v>Уральский</c:v>
                </c:pt>
                <c:pt idx="6">
                  <c:v>Сибирский</c:v>
                </c:pt>
                <c:pt idx="7">
                  <c:v>Дальневосточный</c:v>
                </c:pt>
              </c:strCache>
            </c:strRef>
          </c:cat>
          <c:val>
            <c:numRef>
              <c:f>'Тер структура КЗ'!$K$206:$K$213</c:f>
              <c:numCache>
                <c:formatCode>0.00</c:formatCode>
                <c:ptCount val="8"/>
                <c:pt idx="0">
                  <c:v>29.101954244085231</c:v>
                </c:pt>
                <c:pt idx="1">
                  <c:v>10.966665052353127</c:v>
                </c:pt>
                <c:pt idx="2">
                  <c:v>8.139045997121503</c:v>
                </c:pt>
                <c:pt idx="3">
                  <c:v>2.6856879820312796</c:v>
                </c:pt>
                <c:pt idx="4">
                  <c:v>18.183398869761003</c:v>
                </c:pt>
                <c:pt idx="5">
                  <c:v>11.619295968087371</c:v>
                </c:pt>
                <c:pt idx="6">
                  <c:v>14.162074885027179</c:v>
                </c:pt>
                <c:pt idx="7">
                  <c:v>5.0578167177369231</c:v>
                </c:pt>
              </c:numCache>
            </c:numRef>
          </c:val>
        </c:ser>
        <c:dLbls>
          <c:showPercent val="1"/>
        </c:dLbls>
        <c:firstSliceAng val="0"/>
        <c:holeSize val="50"/>
      </c:doughnutChart>
    </c:plotArea>
    <c:legend>
      <c:legendPos val="r"/>
      <c:layout>
        <c:manualLayout>
          <c:xMode val="edge"/>
          <c:yMode val="edge"/>
          <c:x val="0.74949735412337415"/>
          <c:y val="0.18281449415979414"/>
          <c:w val="0.23613998878506445"/>
          <c:h val="0.42879426801507631"/>
        </c:manualLayout>
      </c:layout>
      <c:spPr>
        <a:solidFill>
          <a:prstClr val="white"/>
        </a:solidFill>
        <a:ln>
          <a:solidFill>
            <a:schemeClr val="tx1"/>
          </a:solidFill>
        </a:ln>
      </c:spPr>
    </c:legend>
    <c:plotVisOnly val="1"/>
    <c:dispBlanksAs val="zero"/>
  </c:chart>
  <c:txPr>
    <a:bodyPr/>
    <a:lstStyle/>
    <a:p>
      <a:pPr>
        <a:defRPr sz="10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spPr>
            <a:gradFill flip="none" rotWithShape="1">
              <a:gsLst>
                <a:gs pos="0">
                  <a:srgbClr val="A603AB"/>
                </a:gs>
                <a:gs pos="21001">
                  <a:srgbClr val="0819FB"/>
                </a:gs>
                <a:gs pos="35001">
                  <a:srgbClr val="1A8D48"/>
                </a:gs>
                <a:gs pos="52000">
                  <a:srgbClr val="FFFF00"/>
                </a:gs>
                <a:gs pos="73000">
                  <a:srgbClr val="EE3F17"/>
                </a:gs>
                <a:gs pos="88000">
                  <a:srgbClr val="E81766"/>
                </a:gs>
                <a:gs pos="100000">
                  <a:srgbClr val="A603AB"/>
                </a:gs>
              </a:gsLst>
              <a:lin ang="3600000" scaled="0"/>
              <a:tileRect/>
            </a:gradFill>
            <a:ln>
              <a:solidFill>
                <a:schemeClr val="accent5">
                  <a:lumMod val="75000"/>
                </a:schemeClr>
              </a:solidFill>
            </a:ln>
          </c:spPr>
          <c:dLbls>
            <c:dLbl>
              <c:idx val="0"/>
              <c:tx>
                <c:rich>
                  <a:bodyPr/>
                  <a:lstStyle/>
                  <a:p>
                    <a:r>
                      <a:rPr lang="en-US"/>
                      <a:t>100,4</a:t>
                    </a:r>
                    <a:endParaRPr lang="ru-RU"/>
                  </a:p>
                  <a:p>
                    <a:r>
                      <a:rPr lang="ru-RU"/>
                      <a:t>(136)</a:t>
                    </a:r>
                    <a:endParaRPr lang="en-US"/>
                  </a:p>
                </c:rich>
              </c:tx>
              <c:showVal val="1"/>
            </c:dLbl>
            <c:dLbl>
              <c:idx val="1"/>
              <c:tx>
                <c:rich>
                  <a:bodyPr/>
                  <a:lstStyle/>
                  <a:p>
                    <a:r>
                      <a:rPr lang="en-US"/>
                      <a:t>86,8</a:t>
                    </a:r>
                    <a:endParaRPr lang="ru-RU"/>
                  </a:p>
                  <a:p>
                    <a:r>
                      <a:rPr lang="ru-RU"/>
                      <a:t>(118)</a:t>
                    </a:r>
                    <a:endParaRPr lang="en-US"/>
                  </a:p>
                </c:rich>
              </c:tx>
              <c:showVal val="1"/>
            </c:dLbl>
            <c:dLbl>
              <c:idx val="2"/>
              <c:tx>
                <c:rich>
                  <a:bodyPr/>
                  <a:lstStyle/>
                  <a:p>
                    <a:r>
                      <a:rPr lang="en-US"/>
                      <a:t>84,2</a:t>
                    </a:r>
                    <a:endParaRPr lang="ru-RU"/>
                  </a:p>
                  <a:p>
                    <a:r>
                      <a:rPr lang="ru-RU"/>
                      <a:t>(114)</a:t>
                    </a:r>
                    <a:endParaRPr lang="en-US"/>
                  </a:p>
                </c:rich>
              </c:tx>
              <c:showVal val="1"/>
            </c:dLbl>
            <c:dLbl>
              <c:idx val="3"/>
              <c:layout>
                <c:manualLayout>
                  <c:x val="-3.8647342995169597E-3"/>
                  <c:y val="2.8551034975017845E-3"/>
                </c:manualLayout>
              </c:layout>
              <c:tx>
                <c:rich>
                  <a:bodyPr/>
                  <a:lstStyle/>
                  <a:p>
                    <a:r>
                      <a:rPr lang="en-US"/>
                      <a:t>79,1</a:t>
                    </a:r>
                    <a:endParaRPr lang="ru-RU"/>
                  </a:p>
                  <a:p>
                    <a:r>
                      <a:rPr lang="ru-RU"/>
                      <a:t>(107)</a:t>
                    </a:r>
                    <a:endParaRPr lang="en-US"/>
                  </a:p>
                </c:rich>
              </c:tx>
              <c:showVal val="1"/>
            </c:dLbl>
            <c:dLbl>
              <c:idx val="4"/>
              <c:tx>
                <c:rich>
                  <a:bodyPr/>
                  <a:lstStyle/>
                  <a:p>
                    <a:r>
                      <a:rPr lang="en-US"/>
                      <a:t>77,9</a:t>
                    </a:r>
                    <a:endParaRPr lang="ru-RU"/>
                  </a:p>
                  <a:p>
                    <a:r>
                      <a:rPr lang="ru-RU"/>
                      <a:t>(106)</a:t>
                    </a:r>
                    <a:endParaRPr lang="en-US"/>
                  </a:p>
                </c:rich>
              </c:tx>
              <c:showVal val="1"/>
            </c:dLbl>
            <c:dLbl>
              <c:idx val="5"/>
              <c:tx>
                <c:rich>
                  <a:bodyPr/>
                  <a:lstStyle/>
                  <a:p>
                    <a:r>
                      <a:rPr lang="en-US"/>
                      <a:t>65,2</a:t>
                    </a:r>
                    <a:endParaRPr lang="ru-RU"/>
                  </a:p>
                  <a:p>
                    <a:r>
                      <a:rPr lang="ru-RU"/>
                      <a:t>(88)</a:t>
                    </a:r>
                    <a:endParaRPr lang="en-US"/>
                  </a:p>
                </c:rich>
              </c:tx>
              <c:showVal val="1"/>
            </c:dLbl>
            <c:dLbl>
              <c:idx val="6"/>
              <c:tx>
                <c:rich>
                  <a:bodyPr/>
                  <a:lstStyle/>
                  <a:p>
                    <a:r>
                      <a:rPr lang="en-US"/>
                      <a:t>61,6</a:t>
                    </a:r>
                    <a:endParaRPr lang="ru-RU"/>
                  </a:p>
                  <a:p>
                    <a:r>
                      <a:rPr lang="ru-RU"/>
                      <a:t>(84)</a:t>
                    </a:r>
                    <a:endParaRPr lang="en-US"/>
                  </a:p>
                </c:rich>
              </c:tx>
              <c:showVal val="1"/>
            </c:dLbl>
            <c:dLbl>
              <c:idx val="7"/>
              <c:layout>
                <c:manualLayout>
                  <c:x val="0"/>
                  <c:y val="5.710206995003673E-3"/>
                </c:manualLayout>
              </c:layout>
              <c:tx>
                <c:rich>
                  <a:bodyPr/>
                  <a:lstStyle/>
                  <a:p>
                    <a:r>
                      <a:rPr lang="en-US"/>
                      <a:t>29,4</a:t>
                    </a:r>
                    <a:endParaRPr lang="ru-RU"/>
                  </a:p>
                  <a:p>
                    <a:r>
                      <a:rPr lang="ru-RU"/>
                      <a:t>(40)</a:t>
                    </a:r>
                    <a:endParaRPr lang="en-US"/>
                  </a:p>
                </c:rich>
              </c:tx>
              <c:showVal val="1"/>
            </c:dLbl>
            <c:spPr>
              <a:solidFill>
                <a:sysClr val="window" lastClr="FFFFFF"/>
              </a:solidFill>
              <a:ln>
                <a:solidFill>
                  <a:sysClr val="windowText" lastClr="000000"/>
                </a:solidFill>
              </a:ln>
            </c:spPr>
            <c:showVal val="1"/>
          </c:dLbls>
          <c:cat>
            <c:strRef>
              <c:f>'КЗ д.н.'!$M$108:$M$115</c:f>
              <c:strCache>
                <c:ptCount val="8"/>
                <c:pt idx="0">
                  <c:v>Уральский</c:v>
                </c:pt>
                <c:pt idx="1">
                  <c:v>Дальневосточный</c:v>
                </c:pt>
                <c:pt idx="2">
                  <c:v>Северо-Западный</c:v>
                </c:pt>
                <c:pt idx="3">
                  <c:v>Центральный</c:v>
                </c:pt>
                <c:pt idx="4">
                  <c:v>Сибирский</c:v>
                </c:pt>
                <c:pt idx="5">
                  <c:v>Приволжский</c:v>
                </c:pt>
                <c:pt idx="6">
                  <c:v>Южный</c:v>
                </c:pt>
                <c:pt idx="7">
                  <c:v>Северо-Кавказский</c:v>
                </c:pt>
              </c:strCache>
            </c:strRef>
          </c:cat>
          <c:val>
            <c:numRef>
              <c:f>'КЗ д.н.'!$N$108:$N$115</c:f>
              <c:numCache>
                <c:formatCode>0.0</c:formatCode>
                <c:ptCount val="8"/>
                <c:pt idx="0">
                  <c:v>100.38915013954625</c:v>
                </c:pt>
                <c:pt idx="1">
                  <c:v>86.820450594667989</c:v>
                </c:pt>
                <c:pt idx="2">
                  <c:v>84.179641906338958</c:v>
                </c:pt>
                <c:pt idx="3">
                  <c:v>79.139902679292277</c:v>
                </c:pt>
                <c:pt idx="4">
                  <c:v>77.934050095448526</c:v>
                </c:pt>
                <c:pt idx="5">
                  <c:v>65.163179823819419</c:v>
                </c:pt>
                <c:pt idx="6">
                  <c:v>61.625837155685645</c:v>
                </c:pt>
                <c:pt idx="7">
                  <c:v>29.388451390362981</c:v>
                </c:pt>
              </c:numCache>
            </c:numRef>
          </c:val>
        </c:ser>
        <c:gapWidth val="50"/>
        <c:axId val="91323392"/>
        <c:axId val="91353856"/>
      </c:barChart>
      <c:catAx>
        <c:axId val="91323392"/>
        <c:scaling>
          <c:orientation val="minMax"/>
        </c:scaling>
        <c:axPos val="b"/>
        <c:majorTickMark val="none"/>
        <c:tickLblPos val="nextTo"/>
        <c:txPr>
          <a:bodyPr/>
          <a:lstStyle/>
          <a:p>
            <a:pPr>
              <a:defRPr sz="900"/>
            </a:pPr>
            <a:endParaRPr lang="ru-RU"/>
          </a:p>
        </c:txPr>
        <c:crossAx val="91353856"/>
        <c:crosses val="autoZero"/>
        <c:auto val="1"/>
        <c:lblAlgn val="ctr"/>
        <c:lblOffset val="100"/>
      </c:catAx>
      <c:valAx>
        <c:axId val="91353856"/>
        <c:scaling>
          <c:orientation val="minMax"/>
        </c:scaling>
        <c:axPos val="l"/>
        <c:majorGridlines/>
        <c:numFmt formatCode="0.0" sourceLinked="1"/>
        <c:majorTickMark val="none"/>
        <c:tickLblPos val="nextTo"/>
        <c:crossAx val="91323392"/>
        <c:crosses val="autoZero"/>
        <c:crossBetween val="between"/>
      </c:valAx>
    </c:plotArea>
    <c:plotVisOnly val="1"/>
    <c:dispBlanksAs val="gap"/>
  </c:chart>
  <c:txPr>
    <a:bodyPr/>
    <a:lstStyle/>
    <a:p>
      <a:pPr>
        <a:defRPr sz="1000">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1"/>
          <c:order val="0"/>
          <c:spPr>
            <a:gradFill flip="none" rotWithShape="1">
              <a:gsLst>
                <a:gs pos="0">
                  <a:schemeClr val="accent5">
                    <a:lumMod val="20000"/>
                    <a:lumOff val="80000"/>
                  </a:schemeClr>
                </a:gs>
                <a:gs pos="25000">
                  <a:srgbClr val="FF6633"/>
                </a:gs>
                <a:gs pos="50000">
                  <a:srgbClr val="FFFF00"/>
                </a:gs>
                <a:gs pos="75000">
                  <a:srgbClr val="01A78F"/>
                </a:gs>
                <a:gs pos="100000">
                  <a:srgbClr val="3366FF"/>
                </a:gs>
              </a:gsLst>
              <a:lin ang="4800000" scaled="0"/>
              <a:tileRect/>
            </a:gradFill>
            <a:ln>
              <a:solidFill>
                <a:schemeClr val="accent1"/>
              </a:solidFill>
            </a:ln>
          </c:spPr>
          <c:dLbls>
            <c:dLbl>
              <c:idx val="0"/>
              <c:tx>
                <c:rich>
                  <a:bodyPr/>
                  <a:lstStyle/>
                  <a:p>
                    <a:r>
                      <a:rPr lang="en-US"/>
                      <a:t>121,4</a:t>
                    </a:r>
                    <a:endParaRPr lang="ru-RU"/>
                  </a:p>
                  <a:p>
                    <a:r>
                      <a:rPr lang="ru-RU"/>
                      <a:t>(165)</a:t>
                    </a:r>
                    <a:endParaRPr lang="en-US"/>
                  </a:p>
                </c:rich>
              </c:tx>
              <c:showVal val="1"/>
            </c:dLbl>
            <c:dLbl>
              <c:idx val="1"/>
              <c:tx>
                <c:rich>
                  <a:bodyPr/>
                  <a:lstStyle/>
                  <a:p>
                    <a:r>
                      <a:rPr lang="en-US"/>
                      <a:t>116,3</a:t>
                    </a:r>
                    <a:endParaRPr lang="ru-RU"/>
                  </a:p>
                  <a:p>
                    <a:r>
                      <a:rPr lang="ru-RU"/>
                      <a:t>(158)</a:t>
                    </a:r>
                    <a:endParaRPr lang="en-US"/>
                  </a:p>
                </c:rich>
              </c:tx>
              <c:showVal val="1"/>
            </c:dLbl>
            <c:dLbl>
              <c:idx val="2"/>
              <c:tx>
                <c:rich>
                  <a:bodyPr/>
                  <a:lstStyle/>
                  <a:p>
                    <a:r>
                      <a:rPr lang="en-US"/>
                      <a:t>98,1</a:t>
                    </a:r>
                    <a:endParaRPr lang="ru-RU"/>
                  </a:p>
                  <a:p>
                    <a:r>
                      <a:rPr lang="ru-RU"/>
                      <a:t>(133)</a:t>
                    </a:r>
                    <a:endParaRPr lang="en-US"/>
                  </a:p>
                </c:rich>
              </c:tx>
              <c:showVal val="1"/>
            </c:dLbl>
            <c:dLbl>
              <c:idx val="3"/>
              <c:tx>
                <c:rich>
                  <a:bodyPr/>
                  <a:lstStyle/>
                  <a:p>
                    <a:r>
                      <a:rPr lang="en-US"/>
                      <a:t>93,1</a:t>
                    </a:r>
                    <a:endParaRPr lang="ru-RU"/>
                  </a:p>
                  <a:p>
                    <a:r>
                      <a:rPr lang="ru-RU"/>
                      <a:t>(126)</a:t>
                    </a:r>
                    <a:endParaRPr lang="en-US"/>
                  </a:p>
                </c:rich>
              </c:tx>
              <c:showVal val="1"/>
            </c:dLbl>
            <c:dLbl>
              <c:idx val="4"/>
              <c:tx>
                <c:rich>
                  <a:bodyPr/>
                  <a:lstStyle/>
                  <a:p>
                    <a:r>
                      <a:rPr lang="en-US"/>
                      <a:t>85,8</a:t>
                    </a:r>
                    <a:endParaRPr lang="ru-RU"/>
                  </a:p>
                  <a:p>
                    <a:r>
                      <a:rPr lang="ru-RU"/>
                      <a:t>(116)</a:t>
                    </a:r>
                    <a:endParaRPr lang="en-US"/>
                  </a:p>
                </c:rich>
              </c:tx>
              <c:showVal val="1"/>
            </c:dLbl>
            <c:dLbl>
              <c:idx val="5"/>
              <c:tx>
                <c:rich>
                  <a:bodyPr/>
                  <a:lstStyle/>
                  <a:p>
                    <a:r>
                      <a:rPr lang="en-US"/>
                      <a:t>84,4</a:t>
                    </a:r>
                    <a:endParaRPr lang="ru-RU"/>
                  </a:p>
                  <a:p>
                    <a:r>
                      <a:rPr lang="ru-RU"/>
                      <a:t>(115)</a:t>
                    </a:r>
                    <a:endParaRPr lang="en-US"/>
                  </a:p>
                </c:rich>
              </c:tx>
              <c:showVal val="1"/>
            </c:dLbl>
            <c:dLbl>
              <c:idx val="6"/>
              <c:tx>
                <c:rich>
                  <a:bodyPr/>
                  <a:lstStyle/>
                  <a:p>
                    <a:r>
                      <a:rPr lang="en-US"/>
                      <a:t>83,8</a:t>
                    </a:r>
                    <a:endParaRPr lang="ru-RU"/>
                  </a:p>
                  <a:p>
                    <a:r>
                      <a:rPr lang="ru-RU"/>
                      <a:t>(114)</a:t>
                    </a:r>
                    <a:endParaRPr lang="en-US"/>
                  </a:p>
                </c:rich>
              </c:tx>
              <c:showVal val="1"/>
            </c:dLbl>
            <c:dLbl>
              <c:idx val="7"/>
              <c:tx>
                <c:rich>
                  <a:bodyPr/>
                  <a:lstStyle/>
                  <a:p>
                    <a:r>
                      <a:rPr lang="en-US"/>
                      <a:t>69,3</a:t>
                    </a:r>
                    <a:endParaRPr lang="ru-RU"/>
                  </a:p>
                  <a:p>
                    <a:r>
                      <a:rPr lang="ru-RU"/>
                      <a:t>(94)</a:t>
                    </a:r>
                    <a:endParaRPr lang="en-US"/>
                  </a:p>
                </c:rich>
              </c:tx>
              <c:showVal val="1"/>
            </c:dLbl>
            <c:dLbl>
              <c:idx val="8"/>
              <c:tx>
                <c:rich>
                  <a:bodyPr/>
                  <a:lstStyle/>
                  <a:p>
                    <a:r>
                      <a:rPr lang="en-US"/>
                      <a:t>65,5</a:t>
                    </a:r>
                    <a:endParaRPr lang="ru-RU"/>
                  </a:p>
                  <a:p>
                    <a:r>
                      <a:rPr lang="ru-RU"/>
                      <a:t>(89)</a:t>
                    </a:r>
                    <a:endParaRPr lang="en-US"/>
                  </a:p>
                </c:rich>
              </c:tx>
              <c:showVal val="1"/>
            </c:dLbl>
            <c:spPr>
              <a:solidFill>
                <a:schemeClr val="bg1"/>
              </a:solidFill>
              <a:ln>
                <a:solidFill>
                  <a:schemeClr val="tx1"/>
                </a:solidFill>
              </a:ln>
            </c:spPr>
            <c:showVal val="1"/>
          </c:dLbls>
          <c:cat>
            <c:strRef>
              <c:f>'КЗ д.н.'!$A$329:$A$337</c:f>
              <c:strCache>
                <c:ptCount val="9"/>
                <c:pt idx="0">
                  <c:v>Магаданская область</c:v>
                </c:pt>
                <c:pt idx="1">
                  <c:v>Республика Саха (Якутия)</c:v>
                </c:pt>
                <c:pt idx="2">
                  <c:v>Сахалинская область</c:v>
                </c:pt>
                <c:pt idx="3">
                  <c:v>Камчатский край</c:v>
                </c:pt>
                <c:pt idx="4">
                  <c:v>Хабаровский край</c:v>
                </c:pt>
                <c:pt idx="5">
                  <c:v>Амурская область</c:v>
                </c:pt>
                <c:pt idx="6">
                  <c:v>Чукотский АО</c:v>
                </c:pt>
                <c:pt idx="7">
                  <c:v>Приморский край</c:v>
                </c:pt>
                <c:pt idx="8">
                  <c:v>ЕАО</c:v>
                </c:pt>
              </c:strCache>
            </c:strRef>
          </c:cat>
          <c:val>
            <c:numRef>
              <c:f>'КЗ д.н.'!$C$329:$C$337</c:f>
              <c:numCache>
                <c:formatCode>0.0</c:formatCode>
                <c:ptCount val="9"/>
                <c:pt idx="0">
                  <c:v>121.41173254979671</c:v>
                </c:pt>
                <c:pt idx="1">
                  <c:v>116.27412630550106</c:v>
                </c:pt>
                <c:pt idx="2">
                  <c:v>98.14013334892968</c:v>
                </c:pt>
                <c:pt idx="3">
                  <c:v>93.086082324210111</c:v>
                </c:pt>
                <c:pt idx="4">
                  <c:v>85.812317541766788</c:v>
                </c:pt>
                <c:pt idx="5">
                  <c:v>84.402294185473565</c:v>
                </c:pt>
                <c:pt idx="6">
                  <c:v>83.8367525968455</c:v>
                </c:pt>
                <c:pt idx="7">
                  <c:v>69.280168874364378</c:v>
                </c:pt>
                <c:pt idx="8">
                  <c:v>65.47676378521615</c:v>
                </c:pt>
              </c:numCache>
            </c:numRef>
          </c:val>
        </c:ser>
        <c:gapWidth val="30"/>
        <c:axId val="103530496"/>
        <c:axId val="103532032"/>
      </c:barChart>
      <c:catAx>
        <c:axId val="103530496"/>
        <c:scaling>
          <c:orientation val="minMax"/>
        </c:scaling>
        <c:axPos val="b"/>
        <c:majorTickMark val="none"/>
        <c:tickLblPos val="nextTo"/>
        <c:txPr>
          <a:bodyPr/>
          <a:lstStyle/>
          <a:p>
            <a:pPr>
              <a:defRPr sz="900"/>
            </a:pPr>
            <a:endParaRPr lang="ru-RU"/>
          </a:p>
        </c:txPr>
        <c:crossAx val="103532032"/>
        <c:crosses val="autoZero"/>
        <c:auto val="1"/>
        <c:lblAlgn val="ctr"/>
        <c:lblOffset val="100"/>
      </c:catAx>
      <c:valAx>
        <c:axId val="103532032"/>
        <c:scaling>
          <c:orientation val="minMax"/>
        </c:scaling>
        <c:axPos val="l"/>
        <c:majorGridlines/>
        <c:numFmt formatCode="0.0" sourceLinked="1"/>
        <c:majorTickMark val="none"/>
        <c:tickLblPos val="nextTo"/>
        <c:crossAx val="103530496"/>
        <c:crosses val="autoZero"/>
        <c:crossBetween val="between"/>
      </c:valAx>
    </c:plotArea>
    <c:plotVisOnly val="1"/>
    <c:dispBlanksAs val="gap"/>
  </c:chart>
  <c:txPr>
    <a:bodyPr/>
    <a:lstStyle/>
    <a:p>
      <a:pPr>
        <a:defRPr sz="1000">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1186258722490643E-2"/>
          <c:y val="0.17567954220314649"/>
          <c:w val="0.81564135400949911"/>
          <c:h val="0.57663726583533259"/>
        </c:manualLayout>
      </c:layout>
      <c:barChart>
        <c:barDir val="col"/>
        <c:grouping val="clustered"/>
        <c:ser>
          <c:idx val="0"/>
          <c:order val="0"/>
          <c:tx>
            <c:strRef>
              <c:f>'КЗ д.н.'!$B$691</c:f>
              <c:strCache>
                <c:ptCount val="1"/>
                <c:pt idx="0">
                  <c:v>КЗ д.н.</c:v>
                </c:pt>
              </c:strCache>
            </c:strRef>
          </c:tx>
          <c:dLbls>
            <c:spPr>
              <a:solidFill>
                <a:sysClr val="window" lastClr="FFFFFF"/>
              </a:solidFill>
              <a:ln>
                <a:solidFill>
                  <a:sysClr val="windowText" lastClr="000000"/>
                </a:solidFill>
              </a:ln>
            </c:spPr>
            <c:dLblPos val="ctr"/>
            <c:showVal val="1"/>
          </c:dLbls>
          <c:cat>
            <c:strRef>
              <c:f>'КЗ д.н.'!$A$692:$A$699</c:f>
              <c:strCache>
                <c:ptCount val="8"/>
                <c:pt idx="0">
                  <c:v>Уральский</c:v>
                </c:pt>
                <c:pt idx="1">
                  <c:v>Дальневосточный</c:v>
                </c:pt>
                <c:pt idx="2">
                  <c:v>Северо-Западный</c:v>
                </c:pt>
                <c:pt idx="3">
                  <c:v>Центральный</c:v>
                </c:pt>
                <c:pt idx="4">
                  <c:v>Сибирский</c:v>
                </c:pt>
                <c:pt idx="5">
                  <c:v>Приволжский</c:v>
                </c:pt>
                <c:pt idx="6">
                  <c:v>Южный</c:v>
                </c:pt>
                <c:pt idx="7">
                  <c:v>Северо-Кавказский</c:v>
                </c:pt>
              </c:strCache>
            </c:strRef>
          </c:cat>
          <c:val>
            <c:numRef>
              <c:f>'КЗ д.н.'!$B$692:$B$699</c:f>
              <c:numCache>
                <c:formatCode>0.0</c:formatCode>
                <c:ptCount val="8"/>
                <c:pt idx="0">
                  <c:v>100.38915013954625</c:v>
                </c:pt>
                <c:pt idx="1">
                  <c:v>86.820450594667989</c:v>
                </c:pt>
                <c:pt idx="2">
                  <c:v>84.179641906338958</c:v>
                </c:pt>
                <c:pt idx="3">
                  <c:v>79.139902679292277</c:v>
                </c:pt>
                <c:pt idx="4">
                  <c:v>77.934050095448526</c:v>
                </c:pt>
                <c:pt idx="5">
                  <c:v>65.163179823819419</c:v>
                </c:pt>
                <c:pt idx="6">
                  <c:v>61.625837155685645</c:v>
                </c:pt>
                <c:pt idx="7">
                  <c:v>29.388451390362921</c:v>
                </c:pt>
              </c:numCache>
            </c:numRef>
          </c:val>
        </c:ser>
        <c:gapWidth val="50"/>
        <c:axId val="103566336"/>
        <c:axId val="103572224"/>
      </c:barChart>
      <c:lineChart>
        <c:grouping val="standard"/>
        <c:ser>
          <c:idx val="1"/>
          <c:order val="1"/>
          <c:tx>
            <c:strRef>
              <c:f>'КЗ д.н.'!$C$691</c:f>
              <c:strCache>
                <c:ptCount val="1"/>
                <c:pt idx="0">
                  <c:v>ДДН д.н.</c:v>
                </c:pt>
              </c:strCache>
            </c:strRef>
          </c:tx>
          <c:dLbls>
            <c:spPr>
              <a:solidFill>
                <a:schemeClr val="bg1"/>
              </a:solidFill>
              <a:ln>
                <a:solidFill>
                  <a:schemeClr val="tx1"/>
                </a:solidFill>
              </a:ln>
            </c:spPr>
            <c:dLblPos val="t"/>
            <c:showVal val="1"/>
          </c:dLbls>
          <c:cat>
            <c:strRef>
              <c:f>'КЗ д.н.'!$A$692:$A$699</c:f>
              <c:strCache>
                <c:ptCount val="8"/>
                <c:pt idx="0">
                  <c:v>Уральский</c:v>
                </c:pt>
                <c:pt idx="1">
                  <c:v>Дальневосточный</c:v>
                </c:pt>
                <c:pt idx="2">
                  <c:v>Северо-Западный</c:v>
                </c:pt>
                <c:pt idx="3">
                  <c:v>Центральный</c:v>
                </c:pt>
                <c:pt idx="4">
                  <c:v>Сибирский</c:v>
                </c:pt>
                <c:pt idx="5">
                  <c:v>Приволжский</c:v>
                </c:pt>
                <c:pt idx="6">
                  <c:v>Южный</c:v>
                </c:pt>
                <c:pt idx="7">
                  <c:v>Северо-Кавказский</c:v>
                </c:pt>
              </c:strCache>
            </c:strRef>
          </c:cat>
          <c:val>
            <c:numRef>
              <c:f>'КЗ д.н.'!$C$692:$C$699</c:f>
              <c:numCache>
                <c:formatCode>0.0</c:formatCode>
                <c:ptCount val="8"/>
                <c:pt idx="0">
                  <c:v>391.65599999999995</c:v>
                </c:pt>
                <c:pt idx="1">
                  <c:v>438.90000000000003</c:v>
                </c:pt>
                <c:pt idx="2">
                  <c:v>389.21999999999969</c:v>
                </c:pt>
                <c:pt idx="3">
                  <c:v>464.78399999999863</c:v>
                </c:pt>
                <c:pt idx="4">
                  <c:v>280.03199999999697</c:v>
                </c:pt>
                <c:pt idx="5">
                  <c:v>314.25599999999969</c:v>
                </c:pt>
                <c:pt idx="6">
                  <c:v>324.29999999999899</c:v>
                </c:pt>
                <c:pt idx="7">
                  <c:v>274.06799999999993</c:v>
                </c:pt>
              </c:numCache>
            </c:numRef>
          </c:val>
        </c:ser>
        <c:marker val="1"/>
        <c:axId val="103575552"/>
        <c:axId val="103573760"/>
      </c:lineChart>
      <c:catAx>
        <c:axId val="103566336"/>
        <c:scaling>
          <c:orientation val="minMax"/>
        </c:scaling>
        <c:axPos val="b"/>
        <c:majorTickMark val="none"/>
        <c:tickLblPos val="nextTo"/>
        <c:crossAx val="103572224"/>
        <c:crosses val="autoZero"/>
        <c:auto val="1"/>
        <c:lblAlgn val="ctr"/>
        <c:lblOffset val="100"/>
      </c:catAx>
      <c:valAx>
        <c:axId val="103572224"/>
        <c:scaling>
          <c:orientation val="minMax"/>
        </c:scaling>
        <c:axPos val="l"/>
        <c:majorGridlines/>
        <c:numFmt formatCode="0.0" sourceLinked="1"/>
        <c:majorTickMark val="none"/>
        <c:tickLblPos val="nextTo"/>
        <c:crossAx val="103566336"/>
        <c:crosses val="autoZero"/>
        <c:crossBetween val="between"/>
      </c:valAx>
      <c:valAx>
        <c:axId val="103573760"/>
        <c:scaling>
          <c:orientation val="minMax"/>
        </c:scaling>
        <c:axPos val="r"/>
        <c:numFmt formatCode="0.0" sourceLinked="1"/>
        <c:tickLblPos val="nextTo"/>
        <c:crossAx val="103575552"/>
        <c:crosses val="max"/>
        <c:crossBetween val="between"/>
      </c:valAx>
      <c:catAx>
        <c:axId val="103575552"/>
        <c:scaling>
          <c:orientation val="minMax"/>
        </c:scaling>
        <c:delete val="1"/>
        <c:axPos val="b"/>
        <c:tickLblPos val="none"/>
        <c:crossAx val="103573760"/>
        <c:crosses val="autoZero"/>
        <c:auto val="1"/>
        <c:lblAlgn val="ctr"/>
        <c:lblOffset val="100"/>
      </c:catAx>
    </c:plotArea>
    <c:legend>
      <c:legendPos val="r"/>
      <c:layout>
        <c:manualLayout>
          <c:xMode val="edge"/>
          <c:yMode val="edge"/>
          <c:x val="0.60080506844857651"/>
          <c:y val="0.18622216214389589"/>
          <c:w val="0.27895875334423997"/>
          <c:h val="6.2176562693611812E-2"/>
        </c:manualLayout>
      </c:layout>
      <c:spPr>
        <a:solidFill>
          <a:sysClr val="window" lastClr="FFFFFF"/>
        </a:solidFill>
        <a:ln>
          <a:solidFill>
            <a:sysClr val="windowText" lastClr="000000"/>
          </a:solidFill>
        </a:ln>
      </c:spPr>
      <c:txPr>
        <a:bodyPr/>
        <a:lstStyle/>
        <a:p>
          <a:pPr>
            <a:defRPr sz="900"/>
          </a:pPr>
          <a:endParaRPr lang="ru-RU"/>
        </a:p>
      </c:txPr>
    </c:legend>
    <c:plotVisOnly val="1"/>
    <c:dispBlanksAs val="gap"/>
  </c:chart>
  <c:txPr>
    <a:bodyPr/>
    <a:lstStyle/>
    <a:p>
      <a:pPr>
        <a:defRPr sz="1000">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928491029382847"/>
          <c:y val="0.19468059682352787"/>
          <c:w val="0.765869235703869"/>
          <c:h val="0.55693037204564633"/>
        </c:manualLayout>
      </c:layout>
      <c:scatterChart>
        <c:scatterStyle val="lineMarker"/>
        <c:ser>
          <c:idx val="0"/>
          <c:order val="0"/>
          <c:tx>
            <c:strRef>
              <c:f>'Кор2013-правильно!'!$R$100</c:f>
              <c:strCache>
                <c:ptCount val="1"/>
                <c:pt idx="0">
                  <c:v>КЗ д.н. (тыс.руб.)</c:v>
                </c:pt>
              </c:strCache>
            </c:strRef>
          </c:tx>
          <c:spPr>
            <a:ln w="28575">
              <a:noFill/>
            </a:ln>
          </c:spPr>
          <c:trendline>
            <c:name>Линейная</c:name>
            <c:trendlineType val="linear"/>
            <c:dispRSqr val="1"/>
            <c:dispEq val="1"/>
            <c:trendlineLbl>
              <c:layout>
                <c:manualLayout>
                  <c:x val="-0.21203061404498313"/>
                  <c:y val="-5.1337155164499375E-2"/>
                </c:manualLayout>
              </c:layout>
              <c:numFmt formatCode="General" sourceLinked="0"/>
              <c:spPr>
                <a:solidFill>
                  <a:sysClr val="window" lastClr="FFFFFF"/>
                </a:solidFill>
                <a:ln>
                  <a:solidFill>
                    <a:sysClr val="windowText" lastClr="000000"/>
                  </a:solidFill>
                </a:ln>
              </c:spPr>
            </c:trendlineLbl>
          </c:trendline>
          <c:trendline>
            <c:name>Полиномиальная</c:name>
            <c:spPr>
              <a:ln w="25400">
                <a:prstDash val="dashDot"/>
              </a:ln>
            </c:spPr>
            <c:trendlineType val="poly"/>
            <c:order val="2"/>
            <c:dispRSqr val="1"/>
            <c:dispEq val="1"/>
            <c:trendlineLbl>
              <c:layout>
                <c:manualLayout>
                  <c:x val="8.0548800002278098E-2"/>
                  <c:y val="0.28686903719291446"/>
                </c:manualLayout>
              </c:layout>
              <c:numFmt formatCode="General" sourceLinked="0"/>
              <c:spPr>
                <a:solidFill>
                  <a:schemeClr val="bg1"/>
                </a:solidFill>
                <a:ln>
                  <a:solidFill>
                    <a:schemeClr val="tx1"/>
                  </a:solidFill>
                </a:ln>
              </c:spPr>
            </c:trendlineLbl>
          </c:trendline>
          <c:xVal>
            <c:numRef>
              <c:f>'Кор2013-правильно!'!$Q$101:$Q$183</c:f>
              <c:numCache>
                <c:formatCode>0.0</c:formatCode>
                <c:ptCount val="83"/>
                <c:pt idx="0">
                  <c:v>284.81639999999823</c:v>
                </c:pt>
                <c:pt idx="1">
                  <c:v>241.82160000000007</c:v>
                </c:pt>
                <c:pt idx="2">
                  <c:v>225.55680000000001</c:v>
                </c:pt>
                <c:pt idx="3">
                  <c:v>264.67200000000008</c:v>
                </c:pt>
                <c:pt idx="4">
                  <c:v>217.47840000000087</c:v>
                </c:pt>
                <c:pt idx="5">
                  <c:v>278.18520000000001</c:v>
                </c:pt>
                <c:pt idx="6">
                  <c:v>210.9</c:v>
                </c:pt>
                <c:pt idx="7">
                  <c:v>249.71280000000002</c:v>
                </c:pt>
                <c:pt idx="8">
                  <c:v>266.66399999999999</c:v>
                </c:pt>
                <c:pt idx="9">
                  <c:v>392.86680000000001</c:v>
                </c:pt>
                <c:pt idx="10">
                  <c:v>219.14880000000005</c:v>
                </c:pt>
                <c:pt idx="11">
                  <c:v>237.93840000000111</c:v>
                </c:pt>
                <c:pt idx="12">
                  <c:v>239.78519999999997</c:v>
                </c:pt>
                <c:pt idx="13">
                  <c:v>238.00319999999996</c:v>
                </c:pt>
                <c:pt idx="14">
                  <c:v>229.27079999999998</c:v>
                </c:pt>
                <c:pt idx="15">
                  <c:v>250.83720000000105</c:v>
                </c:pt>
                <c:pt idx="16">
                  <c:v>253.52160000000001</c:v>
                </c:pt>
                <c:pt idx="17">
                  <c:v>658.428</c:v>
                </c:pt>
                <c:pt idx="18">
                  <c:v>257.92319999999637</c:v>
                </c:pt>
                <c:pt idx="19">
                  <c:v>352.02</c:v>
                </c:pt>
                <c:pt idx="20">
                  <c:v>795.31199999999797</c:v>
                </c:pt>
                <c:pt idx="21">
                  <c:v>297.29880000000003</c:v>
                </c:pt>
                <c:pt idx="22">
                  <c:v>246.15840000000108</c:v>
                </c:pt>
                <c:pt idx="23">
                  <c:v>247.70159999999998</c:v>
                </c:pt>
                <c:pt idx="24">
                  <c:v>241.93680000000001</c:v>
                </c:pt>
                <c:pt idx="25">
                  <c:v>394.94639999999725</c:v>
                </c:pt>
                <c:pt idx="26">
                  <c:v>256.70280000000002</c:v>
                </c:pt>
                <c:pt idx="27">
                  <c:v>213.64319999999998</c:v>
                </c:pt>
                <c:pt idx="28">
                  <c:v>376.8863999999972</c:v>
                </c:pt>
                <c:pt idx="29">
                  <c:v>222.14399999999998</c:v>
                </c:pt>
                <c:pt idx="30">
                  <c:v>135.72959999999998</c:v>
                </c:pt>
                <c:pt idx="31">
                  <c:v>309.3288</c:v>
                </c:pt>
                <c:pt idx="32">
                  <c:v>237.32400000000001</c:v>
                </c:pt>
                <c:pt idx="33">
                  <c:v>211.07519999999997</c:v>
                </c:pt>
                <c:pt idx="34">
                  <c:v>251.93640000000067</c:v>
                </c:pt>
                <c:pt idx="35">
                  <c:v>260.5992</c:v>
                </c:pt>
                <c:pt idx="36">
                  <c:v>165.85080000000067</c:v>
                </c:pt>
                <c:pt idx="37">
                  <c:v>183.56400000000002</c:v>
                </c:pt>
                <c:pt idx="38">
                  <c:v>175.96800000000007</c:v>
                </c:pt>
                <c:pt idx="39">
                  <c:v>213.45720000000105</c:v>
                </c:pt>
                <c:pt idx="40">
                  <c:v>206.25240000000105</c:v>
                </c:pt>
                <c:pt idx="41">
                  <c:v>237.20999999999998</c:v>
                </c:pt>
                <c:pt idx="42">
                  <c:v>286.70759999999899</c:v>
                </c:pt>
                <c:pt idx="43">
                  <c:v>174.2064</c:v>
                </c:pt>
                <c:pt idx="44">
                  <c:v>173.19359999999998</c:v>
                </c:pt>
                <c:pt idx="45">
                  <c:v>313.93439999999725</c:v>
                </c:pt>
                <c:pt idx="46">
                  <c:v>223.92359999999999</c:v>
                </c:pt>
                <c:pt idx="47">
                  <c:v>183.16800000000001</c:v>
                </c:pt>
                <c:pt idx="48">
                  <c:v>312.65159999999969</c:v>
                </c:pt>
                <c:pt idx="49">
                  <c:v>216.1404</c:v>
                </c:pt>
                <c:pt idx="50">
                  <c:v>294.0324</c:v>
                </c:pt>
                <c:pt idx="51">
                  <c:v>223.53720000000001</c:v>
                </c:pt>
                <c:pt idx="52">
                  <c:v>213.78240000000105</c:v>
                </c:pt>
                <c:pt idx="53">
                  <c:v>322.37880000000001</c:v>
                </c:pt>
                <c:pt idx="54">
                  <c:v>192.4188</c:v>
                </c:pt>
                <c:pt idx="55">
                  <c:v>222.96120000000047</c:v>
                </c:pt>
                <c:pt idx="56">
                  <c:v>210.99</c:v>
                </c:pt>
                <c:pt idx="57">
                  <c:v>372.15600000000001</c:v>
                </c:pt>
                <c:pt idx="58">
                  <c:v>471.50040000000001</c:v>
                </c:pt>
                <c:pt idx="59">
                  <c:v>696.48479999999995</c:v>
                </c:pt>
                <c:pt idx="60">
                  <c:v>296.7756</c:v>
                </c:pt>
                <c:pt idx="61">
                  <c:v>262.65840000000031</c:v>
                </c:pt>
                <c:pt idx="62">
                  <c:v>177.02040000000108</c:v>
                </c:pt>
                <c:pt idx="63">
                  <c:v>249.41519999999997</c:v>
                </c:pt>
                <c:pt idx="64">
                  <c:v>161.66159999999999</c:v>
                </c:pt>
                <c:pt idx="65">
                  <c:v>214.50840000000107</c:v>
                </c:pt>
                <c:pt idx="66">
                  <c:v>191.74919999999995</c:v>
                </c:pt>
                <c:pt idx="67">
                  <c:v>238.63319999999999</c:v>
                </c:pt>
                <c:pt idx="68">
                  <c:v>299.06040000000002</c:v>
                </c:pt>
                <c:pt idx="69">
                  <c:v>233.09399999999999</c:v>
                </c:pt>
                <c:pt idx="70">
                  <c:v>236.36880000000087</c:v>
                </c:pt>
                <c:pt idx="71">
                  <c:v>271.16880000000032</c:v>
                </c:pt>
                <c:pt idx="72">
                  <c:v>256.36440000000078</c:v>
                </c:pt>
                <c:pt idx="73">
                  <c:v>245.154</c:v>
                </c:pt>
                <c:pt idx="74">
                  <c:v>378.33840000000004</c:v>
                </c:pt>
                <c:pt idx="75">
                  <c:v>424.45680000000004</c:v>
                </c:pt>
                <c:pt idx="76">
                  <c:v>292.11</c:v>
                </c:pt>
                <c:pt idx="77">
                  <c:v>352.58879999999863</c:v>
                </c:pt>
                <c:pt idx="78">
                  <c:v>296.0532</c:v>
                </c:pt>
                <c:pt idx="79">
                  <c:v>509.55119999999869</c:v>
                </c:pt>
                <c:pt idx="80">
                  <c:v>479.64960000000315</c:v>
                </c:pt>
                <c:pt idx="81">
                  <c:v>245.00880000000001</c:v>
                </c:pt>
                <c:pt idx="82">
                  <c:v>632.33879999999999</c:v>
                </c:pt>
              </c:numCache>
            </c:numRef>
          </c:xVal>
          <c:yVal>
            <c:numRef>
              <c:f>'Кор2013-правильно!'!$R$101:$R$183</c:f>
              <c:numCache>
                <c:formatCode>0.00</c:formatCode>
                <c:ptCount val="83"/>
                <c:pt idx="0">
                  <c:v>57.758913236639259</c:v>
                </c:pt>
                <c:pt idx="1">
                  <c:v>46.393084172770124</c:v>
                </c:pt>
                <c:pt idx="2">
                  <c:v>56.617003497435995</c:v>
                </c:pt>
                <c:pt idx="3">
                  <c:v>48.684412220223713</c:v>
                </c:pt>
                <c:pt idx="4">
                  <c:v>43.171033332375089</c:v>
                </c:pt>
                <c:pt idx="5">
                  <c:v>67.753129778288027</c:v>
                </c:pt>
                <c:pt idx="6">
                  <c:v>47.380440561922363</c:v>
                </c:pt>
                <c:pt idx="7">
                  <c:v>54.659201101066174</c:v>
                </c:pt>
                <c:pt idx="8">
                  <c:v>50.188556264258111</c:v>
                </c:pt>
                <c:pt idx="9">
                  <c:v>88.393410358275332</c:v>
                </c:pt>
                <c:pt idx="10">
                  <c:v>47.893451777968245</c:v>
                </c:pt>
                <c:pt idx="11">
                  <c:v>53.740914621105112</c:v>
                </c:pt>
                <c:pt idx="12">
                  <c:v>56.497805549356279</c:v>
                </c:pt>
                <c:pt idx="13">
                  <c:v>42.837069454240627</c:v>
                </c:pt>
                <c:pt idx="14">
                  <c:v>54.158878822017599</c:v>
                </c:pt>
                <c:pt idx="15">
                  <c:v>56.506190942210203</c:v>
                </c:pt>
                <c:pt idx="16">
                  <c:v>54.959796063111995</c:v>
                </c:pt>
                <c:pt idx="17">
                  <c:v>96.122918434915888</c:v>
                </c:pt>
                <c:pt idx="18">
                  <c:v>81.267083016762243</c:v>
                </c:pt>
                <c:pt idx="19">
                  <c:v>91.383934765732064</c:v>
                </c:pt>
                <c:pt idx="20">
                  <c:v>119.90703079604882</c:v>
                </c:pt>
                <c:pt idx="21">
                  <c:v>73.309481527908318</c:v>
                </c:pt>
                <c:pt idx="22">
                  <c:v>69.274349720246263</c:v>
                </c:pt>
                <c:pt idx="23">
                  <c:v>61.555681072505394</c:v>
                </c:pt>
                <c:pt idx="24">
                  <c:v>65.759068984831544</c:v>
                </c:pt>
                <c:pt idx="25">
                  <c:v>90.119031253160614</c:v>
                </c:pt>
                <c:pt idx="26">
                  <c:v>62.554825442217954</c:v>
                </c:pt>
                <c:pt idx="27">
                  <c:v>49.386119492324397</c:v>
                </c:pt>
                <c:pt idx="28">
                  <c:v>83.968018344712391</c:v>
                </c:pt>
                <c:pt idx="29">
                  <c:v>49.734994601327045</c:v>
                </c:pt>
                <c:pt idx="30">
                  <c:v>73.728552129096258</c:v>
                </c:pt>
                <c:pt idx="31">
                  <c:v>60.074870384971312</c:v>
                </c:pt>
                <c:pt idx="32">
                  <c:v>60.694568506545913</c:v>
                </c:pt>
                <c:pt idx="33">
                  <c:v>49.189880138226002</c:v>
                </c:pt>
                <c:pt idx="34">
                  <c:v>60.636452628316071</c:v>
                </c:pt>
                <c:pt idx="35">
                  <c:v>10.55089918142135</c:v>
                </c:pt>
                <c:pt idx="36">
                  <c:v>9.8673318469790967</c:v>
                </c:pt>
                <c:pt idx="37">
                  <c:v>41.831460268383744</c:v>
                </c:pt>
                <c:pt idx="38">
                  <c:v>47.593101437306984</c:v>
                </c:pt>
                <c:pt idx="39">
                  <c:v>41.438853826190353</c:v>
                </c:pt>
                <c:pt idx="40">
                  <c:v>11.190266466038498</c:v>
                </c:pt>
                <c:pt idx="41">
                  <c:v>50.561673110257694</c:v>
                </c:pt>
                <c:pt idx="42">
                  <c:v>62.874689964709894</c:v>
                </c:pt>
                <c:pt idx="43">
                  <c:v>44.48326232855031</c:v>
                </c:pt>
                <c:pt idx="44">
                  <c:v>43.475637685370792</c:v>
                </c:pt>
                <c:pt idx="45">
                  <c:v>64.316625111053781</c:v>
                </c:pt>
                <c:pt idx="46">
                  <c:v>63.801456774660998</c:v>
                </c:pt>
                <c:pt idx="47">
                  <c:v>52.711164015019264</c:v>
                </c:pt>
                <c:pt idx="48">
                  <c:v>74.819225280466</c:v>
                </c:pt>
                <c:pt idx="49">
                  <c:v>51.960861343367945</c:v>
                </c:pt>
                <c:pt idx="50">
                  <c:v>57.640173871916957</c:v>
                </c:pt>
                <c:pt idx="51">
                  <c:v>63.98694391919409</c:v>
                </c:pt>
                <c:pt idx="52">
                  <c:v>46.337352921937367</c:v>
                </c:pt>
                <c:pt idx="53">
                  <c:v>64.132359778485977</c:v>
                </c:pt>
                <c:pt idx="54">
                  <c:v>51.631610316949313</c:v>
                </c:pt>
                <c:pt idx="55">
                  <c:v>66.00707973817434</c:v>
                </c:pt>
                <c:pt idx="56">
                  <c:v>59.58508759629175</c:v>
                </c:pt>
                <c:pt idx="57">
                  <c:v>82.088061662558758</c:v>
                </c:pt>
                <c:pt idx="58">
                  <c:v>156.49416997235238</c:v>
                </c:pt>
                <c:pt idx="59">
                  <c:v>157.92770039524081</c:v>
                </c:pt>
                <c:pt idx="60">
                  <c:v>124.71389061930176</c:v>
                </c:pt>
                <c:pt idx="61">
                  <c:v>73.534986431438142</c:v>
                </c:pt>
                <c:pt idx="62">
                  <c:v>58.2059580901985</c:v>
                </c:pt>
                <c:pt idx="63">
                  <c:v>88.912163966073919</c:v>
                </c:pt>
                <c:pt idx="64">
                  <c:v>64.735486478423326</c:v>
                </c:pt>
                <c:pt idx="65">
                  <c:v>62.912041102533394</c:v>
                </c:pt>
                <c:pt idx="66">
                  <c:v>58.972960356189432</c:v>
                </c:pt>
                <c:pt idx="67">
                  <c:v>74.084875965750257</c:v>
                </c:pt>
                <c:pt idx="68">
                  <c:v>92.244488767215827</c:v>
                </c:pt>
                <c:pt idx="69">
                  <c:v>87.578793457351026</c:v>
                </c:pt>
                <c:pt idx="70">
                  <c:v>69.881404131196078</c:v>
                </c:pt>
                <c:pt idx="71">
                  <c:v>81.457218428984433</c:v>
                </c:pt>
                <c:pt idx="72">
                  <c:v>65.088688448514489</c:v>
                </c:pt>
                <c:pt idx="73">
                  <c:v>77.548667075341157</c:v>
                </c:pt>
                <c:pt idx="74">
                  <c:v>98.297764041379196</c:v>
                </c:pt>
                <c:pt idx="75">
                  <c:v>83.794987869844704</c:v>
                </c:pt>
                <c:pt idx="76">
                  <c:v>71.197245728176156</c:v>
                </c:pt>
                <c:pt idx="77">
                  <c:v>82.742747284896311</c:v>
                </c:pt>
                <c:pt idx="78">
                  <c:v>82.658879737302058</c:v>
                </c:pt>
                <c:pt idx="79">
                  <c:v>110.15753898557665</c:v>
                </c:pt>
                <c:pt idx="80">
                  <c:v>95.006995541996673</c:v>
                </c:pt>
                <c:pt idx="81">
                  <c:v>63.594264484055948</c:v>
                </c:pt>
                <c:pt idx="82">
                  <c:v>65.611710018791058</c:v>
                </c:pt>
              </c:numCache>
            </c:numRef>
          </c:yVal>
        </c:ser>
        <c:axId val="103584128"/>
        <c:axId val="103586048"/>
      </c:scatterChart>
      <c:valAx>
        <c:axId val="103584128"/>
        <c:scaling>
          <c:orientation val="minMax"/>
        </c:scaling>
        <c:axPos val="b"/>
        <c:title>
          <c:tx>
            <c:rich>
              <a:bodyPr/>
              <a:lstStyle/>
              <a:p>
                <a:pPr>
                  <a:defRPr/>
                </a:pPr>
                <a:r>
                  <a:rPr lang="ru-RU"/>
                  <a:t>ДДН</a:t>
                </a:r>
                <a:r>
                  <a:rPr lang="ru-RU" baseline="0"/>
                  <a:t> дн</a:t>
                </a:r>
                <a:endParaRPr lang="ru-RU"/>
              </a:p>
            </c:rich>
          </c:tx>
        </c:title>
        <c:numFmt formatCode="0.0" sourceLinked="1"/>
        <c:majorTickMark val="none"/>
        <c:tickLblPos val="nextTo"/>
        <c:crossAx val="103586048"/>
        <c:crosses val="autoZero"/>
        <c:crossBetween val="midCat"/>
      </c:valAx>
      <c:valAx>
        <c:axId val="103586048"/>
        <c:scaling>
          <c:orientation val="minMax"/>
        </c:scaling>
        <c:axPos val="l"/>
        <c:majorGridlines/>
        <c:title>
          <c:tx>
            <c:rich>
              <a:bodyPr/>
              <a:lstStyle/>
              <a:p>
                <a:pPr>
                  <a:defRPr/>
                </a:pPr>
                <a:r>
                  <a:rPr lang="ru-RU"/>
                  <a:t>КЗ дн</a:t>
                </a:r>
              </a:p>
            </c:rich>
          </c:tx>
        </c:title>
        <c:numFmt formatCode="0.00" sourceLinked="1"/>
        <c:majorTickMark val="none"/>
        <c:tickLblPos val="nextTo"/>
        <c:crossAx val="103584128"/>
        <c:crosses val="autoZero"/>
        <c:crossBetween val="midCat"/>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021890304948996"/>
          <c:y val="0.20046620046620481"/>
          <c:w val="0.8090333006874364"/>
          <c:h val="0.60899063736437653"/>
        </c:manualLayout>
      </c:layout>
      <c:scatterChart>
        <c:scatterStyle val="lineMarker"/>
        <c:ser>
          <c:idx val="0"/>
          <c:order val="0"/>
          <c:tx>
            <c:strRef>
              <c:f>'2014 - правильно!'!$C$2739</c:f>
              <c:strCache>
                <c:ptCount val="1"/>
                <c:pt idx="0">
                  <c:v>КЗ д.н. (тыс.руб.)</c:v>
                </c:pt>
              </c:strCache>
            </c:strRef>
          </c:tx>
          <c:spPr>
            <a:ln w="28575">
              <a:noFill/>
            </a:ln>
          </c:spPr>
          <c:trendline>
            <c:name>Линейная</c:name>
            <c:trendlineType val="linear"/>
            <c:dispRSqr val="1"/>
            <c:dispEq val="1"/>
            <c:trendlineLbl>
              <c:layout>
                <c:manualLayout>
                  <c:x val="-0.24312749566098071"/>
                  <c:y val="-7.8174481921103933E-2"/>
                </c:manualLayout>
              </c:layout>
              <c:numFmt formatCode="General" sourceLinked="0"/>
              <c:spPr>
                <a:solidFill>
                  <a:schemeClr val="bg1"/>
                </a:solidFill>
                <a:ln>
                  <a:solidFill>
                    <a:schemeClr val="tx1"/>
                  </a:solidFill>
                </a:ln>
              </c:spPr>
            </c:trendlineLbl>
          </c:trendline>
          <c:trendline>
            <c:name>Полиномиальная</c:name>
            <c:spPr>
              <a:ln w="25400">
                <a:prstDash val="dashDot"/>
              </a:ln>
            </c:spPr>
            <c:trendlineType val="poly"/>
            <c:order val="2"/>
            <c:dispRSqr val="1"/>
            <c:dispEq val="1"/>
            <c:trendlineLbl>
              <c:layout>
                <c:manualLayout>
                  <c:x val="7.5959474137897734E-2"/>
                  <c:y val="0.28955631292357131"/>
                </c:manualLayout>
              </c:layout>
              <c:numFmt formatCode="General" sourceLinked="0"/>
              <c:spPr>
                <a:solidFill>
                  <a:sysClr val="window" lastClr="FFFFFF"/>
                </a:solidFill>
                <a:ln>
                  <a:solidFill>
                    <a:sysClr val="windowText" lastClr="000000"/>
                  </a:solidFill>
                </a:ln>
              </c:spPr>
            </c:trendlineLbl>
          </c:trendline>
          <c:xVal>
            <c:numRef>
              <c:f>'2014 - правильно!'!$B$2740:$B$2822</c:f>
              <c:numCache>
                <c:formatCode>0.0</c:formatCode>
                <c:ptCount val="83"/>
                <c:pt idx="0">
                  <c:v>304.464</c:v>
                </c:pt>
                <c:pt idx="1">
                  <c:v>264.46799999999899</c:v>
                </c:pt>
                <c:pt idx="2">
                  <c:v>246.82800000000108</c:v>
                </c:pt>
                <c:pt idx="3">
                  <c:v>306.06</c:v>
                </c:pt>
                <c:pt idx="4">
                  <c:v>244.90800000000004</c:v>
                </c:pt>
                <c:pt idx="5">
                  <c:v>299.80799999999999</c:v>
                </c:pt>
                <c:pt idx="6">
                  <c:v>231.84</c:v>
                </c:pt>
                <c:pt idx="7">
                  <c:v>278.25599999999969</c:v>
                </c:pt>
                <c:pt idx="8">
                  <c:v>303.15600000000001</c:v>
                </c:pt>
                <c:pt idx="9">
                  <c:v>419.37599999999969</c:v>
                </c:pt>
                <c:pt idx="10">
                  <c:v>239.77200000000002</c:v>
                </c:pt>
                <c:pt idx="11">
                  <c:v>263.85599999999999</c:v>
                </c:pt>
                <c:pt idx="12">
                  <c:v>261.45599999999899</c:v>
                </c:pt>
                <c:pt idx="13">
                  <c:v>268.524</c:v>
                </c:pt>
                <c:pt idx="14">
                  <c:v>247.22399999999999</c:v>
                </c:pt>
                <c:pt idx="15">
                  <c:v>276.47999999999894</c:v>
                </c:pt>
                <c:pt idx="16">
                  <c:v>286.512</c:v>
                </c:pt>
                <c:pt idx="17">
                  <c:v>654.048</c:v>
                </c:pt>
                <c:pt idx="18">
                  <c:v>275.26800000000003</c:v>
                </c:pt>
                <c:pt idx="19">
                  <c:v>370.12800000000004</c:v>
                </c:pt>
                <c:pt idx="20">
                  <c:v>797.89199999999948</c:v>
                </c:pt>
                <c:pt idx="21">
                  <c:v>336.39599999999899</c:v>
                </c:pt>
                <c:pt idx="22">
                  <c:v>273.61199999999963</c:v>
                </c:pt>
                <c:pt idx="23">
                  <c:v>275.92799999999869</c:v>
                </c:pt>
                <c:pt idx="24">
                  <c:v>251.18399999999997</c:v>
                </c:pt>
                <c:pt idx="25">
                  <c:v>409.78799999999899</c:v>
                </c:pt>
                <c:pt idx="26">
                  <c:v>284.43599999999714</c:v>
                </c:pt>
                <c:pt idx="27">
                  <c:v>234</c:v>
                </c:pt>
                <c:pt idx="28">
                  <c:v>416.68799999999999</c:v>
                </c:pt>
                <c:pt idx="29">
                  <c:v>264.64799999999997</c:v>
                </c:pt>
                <c:pt idx="30">
                  <c:v>148.77599999999998</c:v>
                </c:pt>
                <c:pt idx="31">
                  <c:v>345.45599999999899</c:v>
                </c:pt>
                <c:pt idx="32">
                  <c:v>266.02799999999894</c:v>
                </c:pt>
                <c:pt idx="33">
                  <c:v>228.67200000000003</c:v>
                </c:pt>
                <c:pt idx="34">
                  <c:v>280.26</c:v>
                </c:pt>
                <c:pt idx="35">
                  <c:v>281.07599999999923</c:v>
                </c:pt>
                <c:pt idx="36">
                  <c:v>172.15200000000004</c:v>
                </c:pt>
                <c:pt idx="37">
                  <c:v>199.42800000000105</c:v>
                </c:pt>
                <c:pt idx="38">
                  <c:v>192.97200000000001</c:v>
                </c:pt>
                <c:pt idx="39">
                  <c:v>237.84</c:v>
                </c:pt>
                <c:pt idx="40">
                  <c:v>237.45600000000007</c:v>
                </c:pt>
                <c:pt idx="41">
                  <c:v>259.08</c:v>
                </c:pt>
                <c:pt idx="42">
                  <c:v>311.65199999999999</c:v>
                </c:pt>
                <c:pt idx="43">
                  <c:v>196.48800000000105</c:v>
                </c:pt>
                <c:pt idx="44">
                  <c:v>193.608</c:v>
                </c:pt>
                <c:pt idx="45">
                  <c:v>357.96</c:v>
                </c:pt>
                <c:pt idx="46">
                  <c:v>254.364</c:v>
                </c:pt>
                <c:pt idx="47">
                  <c:v>200.17200000000003</c:v>
                </c:pt>
                <c:pt idx="48">
                  <c:v>339.78000000000003</c:v>
                </c:pt>
                <c:pt idx="49">
                  <c:v>243.94800000000001</c:v>
                </c:pt>
                <c:pt idx="50">
                  <c:v>335.15999999999997</c:v>
                </c:pt>
                <c:pt idx="51">
                  <c:v>248.68800000000007</c:v>
                </c:pt>
                <c:pt idx="52">
                  <c:v>235.21199999999999</c:v>
                </c:pt>
                <c:pt idx="53">
                  <c:v>312.74400000000031</c:v>
                </c:pt>
                <c:pt idx="54">
                  <c:v>215.29199999999997</c:v>
                </c:pt>
                <c:pt idx="55">
                  <c:v>258.49199999999666</c:v>
                </c:pt>
                <c:pt idx="56">
                  <c:v>226.20000000000002</c:v>
                </c:pt>
                <c:pt idx="57">
                  <c:v>385.88399999999899</c:v>
                </c:pt>
                <c:pt idx="58">
                  <c:v>498.03599999999869</c:v>
                </c:pt>
                <c:pt idx="59">
                  <c:v>735.024</c:v>
                </c:pt>
                <c:pt idx="60">
                  <c:v>318.108</c:v>
                </c:pt>
                <c:pt idx="61">
                  <c:v>277.88400000000001</c:v>
                </c:pt>
                <c:pt idx="62">
                  <c:v>205.608</c:v>
                </c:pt>
                <c:pt idx="63">
                  <c:v>267.91200000000003</c:v>
                </c:pt>
                <c:pt idx="64">
                  <c:v>168.99600000000001</c:v>
                </c:pt>
                <c:pt idx="65">
                  <c:v>220.62</c:v>
                </c:pt>
                <c:pt idx="66">
                  <c:v>221.20800000000003</c:v>
                </c:pt>
                <c:pt idx="67">
                  <c:v>246.23999999999998</c:v>
                </c:pt>
                <c:pt idx="68">
                  <c:v>297.67200000000008</c:v>
                </c:pt>
                <c:pt idx="69">
                  <c:v>242.68800000000007</c:v>
                </c:pt>
                <c:pt idx="70">
                  <c:v>242.31600000000003</c:v>
                </c:pt>
                <c:pt idx="71">
                  <c:v>277.32</c:v>
                </c:pt>
                <c:pt idx="72">
                  <c:v>288.71999999999969</c:v>
                </c:pt>
                <c:pt idx="73">
                  <c:v>258.58799999999923</c:v>
                </c:pt>
                <c:pt idx="74">
                  <c:v>410.46</c:v>
                </c:pt>
                <c:pt idx="75">
                  <c:v>444.36</c:v>
                </c:pt>
                <c:pt idx="76">
                  <c:v>340.08</c:v>
                </c:pt>
                <c:pt idx="77">
                  <c:v>380.43599999999714</c:v>
                </c:pt>
                <c:pt idx="78">
                  <c:v>321.18</c:v>
                </c:pt>
                <c:pt idx="79">
                  <c:v>550.15199999999948</c:v>
                </c:pt>
                <c:pt idx="80">
                  <c:v>536.28000000000054</c:v>
                </c:pt>
                <c:pt idx="81">
                  <c:v>263.21999999999969</c:v>
                </c:pt>
                <c:pt idx="82">
                  <c:v>687.72</c:v>
                </c:pt>
              </c:numCache>
            </c:numRef>
          </c:xVal>
          <c:yVal>
            <c:numRef>
              <c:f>'2014 - правильно!'!$C$2740:$C$2822</c:f>
              <c:numCache>
                <c:formatCode>0.00</c:formatCode>
                <c:ptCount val="83"/>
                <c:pt idx="0">
                  <c:v>64.271391065263686</c:v>
                </c:pt>
                <c:pt idx="1">
                  <c:v>53.276720683893778</c:v>
                </c:pt>
                <c:pt idx="2">
                  <c:v>63.436379714757912</c:v>
                </c:pt>
                <c:pt idx="3">
                  <c:v>57.411222887273944</c:v>
                </c:pt>
                <c:pt idx="4">
                  <c:v>52.258202021585312</c:v>
                </c:pt>
                <c:pt idx="5">
                  <c:v>77.145056933000518</c:v>
                </c:pt>
                <c:pt idx="6">
                  <c:v>55.598343495469067</c:v>
                </c:pt>
                <c:pt idx="7">
                  <c:v>63.926442081372379</c:v>
                </c:pt>
                <c:pt idx="8">
                  <c:v>56.967781218017372</c:v>
                </c:pt>
                <c:pt idx="9">
                  <c:v>109.30418577172833</c:v>
                </c:pt>
                <c:pt idx="10">
                  <c:v>56.049741842659273</c:v>
                </c:pt>
                <c:pt idx="11">
                  <c:v>61.527798083206342</c:v>
                </c:pt>
                <c:pt idx="12">
                  <c:v>64.89902994534674</c:v>
                </c:pt>
                <c:pt idx="13">
                  <c:v>50.629646816092674</c:v>
                </c:pt>
                <c:pt idx="14">
                  <c:v>61.887152860948198</c:v>
                </c:pt>
                <c:pt idx="15">
                  <c:v>65.702280039905673</c:v>
                </c:pt>
                <c:pt idx="16">
                  <c:v>62.299617262582103</c:v>
                </c:pt>
                <c:pt idx="17">
                  <c:v>107.32459084560597</c:v>
                </c:pt>
                <c:pt idx="18">
                  <c:v>91.158880248145152</c:v>
                </c:pt>
                <c:pt idx="19">
                  <c:v>108.17723709660903</c:v>
                </c:pt>
                <c:pt idx="20">
                  <c:v>129.55064210453509</c:v>
                </c:pt>
                <c:pt idx="21">
                  <c:v>83.380850037282258</c:v>
                </c:pt>
                <c:pt idx="22">
                  <c:v>77.950646929917326</c:v>
                </c:pt>
                <c:pt idx="23">
                  <c:v>71.604757344077683</c:v>
                </c:pt>
                <c:pt idx="24">
                  <c:v>76.200479854016251</c:v>
                </c:pt>
                <c:pt idx="25">
                  <c:v>103.27543029254217</c:v>
                </c:pt>
                <c:pt idx="26">
                  <c:v>69.608519758268514</c:v>
                </c:pt>
                <c:pt idx="27">
                  <c:v>56.807779968914524</c:v>
                </c:pt>
                <c:pt idx="28">
                  <c:v>95.649586165583358</c:v>
                </c:pt>
                <c:pt idx="29">
                  <c:v>57.165311206645313</c:v>
                </c:pt>
                <c:pt idx="30">
                  <c:v>83.85608987610587</c:v>
                </c:pt>
                <c:pt idx="31">
                  <c:v>68.377866070430741</c:v>
                </c:pt>
                <c:pt idx="32">
                  <c:v>68.763236974523309</c:v>
                </c:pt>
                <c:pt idx="33">
                  <c:v>56.8531205753347</c:v>
                </c:pt>
                <c:pt idx="34">
                  <c:v>68.738449062723888</c:v>
                </c:pt>
                <c:pt idx="35">
                  <c:v>11.330701106986394</c:v>
                </c:pt>
                <c:pt idx="36">
                  <c:v>9.5000355685470748</c:v>
                </c:pt>
                <c:pt idx="37">
                  <c:v>43.474623827565395</c:v>
                </c:pt>
                <c:pt idx="38">
                  <c:v>49.347631433078924</c:v>
                </c:pt>
                <c:pt idx="39">
                  <c:v>46.627532717966169</c:v>
                </c:pt>
                <c:pt idx="40">
                  <c:v>12.642782287844422</c:v>
                </c:pt>
                <c:pt idx="41">
                  <c:v>57.596911990221336</c:v>
                </c:pt>
                <c:pt idx="42">
                  <c:v>71.642910451334942</c:v>
                </c:pt>
                <c:pt idx="43">
                  <c:v>54.773178555063375</c:v>
                </c:pt>
                <c:pt idx="44">
                  <c:v>51.431100473736308</c:v>
                </c:pt>
                <c:pt idx="45">
                  <c:v>72.585295549692532</c:v>
                </c:pt>
                <c:pt idx="46">
                  <c:v>73.973028826890342</c:v>
                </c:pt>
                <c:pt idx="47">
                  <c:v>63.032733986985129</c:v>
                </c:pt>
                <c:pt idx="48">
                  <c:v>84.013770026302282</c:v>
                </c:pt>
                <c:pt idx="49">
                  <c:v>60.22395863680606</c:v>
                </c:pt>
                <c:pt idx="50">
                  <c:v>66.496789343046899</c:v>
                </c:pt>
                <c:pt idx="51">
                  <c:v>74.733522894793381</c:v>
                </c:pt>
                <c:pt idx="52">
                  <c:v>54.958697804248224</c:v>
                </c:pt>
                <c:pt idx="53">
                  <c:v>72.878186284579485</c:v>
                </c:pt>
                <c:pt idx="54">
                  <c:v>58.819730576199831</c:v>
                </c:pt>
                <c:pt idx="55">
                  <c:v>74.833531213441134</c:v>
                </c:pt>
                <c:pt idx="56">
                  <c:v>68.176644661962527</c:v>
                </c:pt>
                <c:pt idx="57">
                  <c:v>89.693243538028668</c:v>
                </c:pt>
                <c:pt idx="58">
                  <c:v>168.21787558402912</c:v>
                </c:pt>
                <c:pt idx="59">
                  <c:v>176.16044890135836</c:v>
                </c:pt>
                <c:pt idx="60">
                  <c:v>144.80714117792107</c:v>
                </c:pt>
                <c:pt idx="61">
                  <c:v>79.646890692579419</c:v>
                </c:pt>
                <c:pt idx="62">
                  <c:v>65.684618372226041</c:v>
                </c:pt>
                <c:pt idx="63">
                  <c:v>93.548766217507449</c:v>
                </c:pt>
                <c:pt idx="64">
                  <c:v>68.271415686936905</c:v>
                </c:pt>
                <c:pt idx="65">
                  <c:v>65.472679900559058</c:v>
                </c:pt>
                <c:pt idx="66">
                  <c:v>65.225267232804242</c:v>
                </c:pt>
                <c:pt idx="67">
                  <c:v>83.153095492950158</c:v>
                </c:pt>
                <c:pt idx="68">
                  <c:v>101.9112045622381</c:v>
                </c:pt>
                <c:pt idx="69">
                  <c:v>98.047010389194227</c:v>
                </c:pt>
                <c:pt idx="70">
                  <c:v>77.332393880344512</c:v>
                </c:pt>
                <c:pt idx="71">
                  <c:v>90.949104091929385</c:v>
                </c:pt>
                <c:pt idx="72">
                  <c:v>72.820866421357394</c:v>
                </c:pt>
                <c:pt idx="73">
                  <c:v>85.104699786775427</c:v>
                </c:pt>
                <c:pt idx="74">
                  <c:v>116.39613918335954</c:v>
                </c:pt>
                <c:pt idx="75">
                  <c:v>97.302289224601211</c:v>
                </c:pt>
                <c:pt idx="76">
                  <c:v>74.282007833205341</c:v>
                </c:pt>
                <c:pt idx="77">
                  <c:v>94.590545503453313</c:v>
                </c:pt>
                <c:pt idx="78">
                  <c:v>93.060269943559064</c:v>
                </c:pt>
                <c:pt idx="79">
                  <c:v>128.01291272429998</c:v>
                </c:pt>
                <c:pt idx="80">
                  <c:v>106.74234373688275</c:v>
                </c:pt>
                <c:pt idx="81">
                  <c:v>71.123966549463049</c:v>
                </c:pt>
                <c:pt idx="82">
                  <c:v>83.339928769291646</c:v>
                </c:pt>
              </c:numCache>
            </c:numRef>
          </c:yVal>
        </c:ser>
        <c:axId val="103629952"/>
        <c:axId val="103631872"/>
      </c:scatterChart>
      <c:valAx>
        <c:axId val="103629952"/>
        <c:scaling>
          <c:orientation val="minMax"/>
        </c:scaling>
        <c:axPos val="b"/>
        <c:title>
          <c:tx>
            <c:rich>
              <a:bodyPr/>
              <a:lstStyle/>
              <a:p>
                <a:pPr>
                  <a:defRPr/>
                </a:pPr>
                <a:r>
                  <a:rPr lang="ru-RU"/>
                  <a:t>ДДН д.н.</a:t>
                </a:r>
              </a:p>
            </c:rich>
          </c:tx>
        </c:title>
        <c:numFmt formatCode="0.0" sourceLinked="1"/>
        <c:majorTickMark val="none"/>
        <c:tickLblPos val="nextTo"/>
        <c:crossAx val="103631872"/>
        <c:crosses val="autoZero"/>
        <c:crossBetween val="midCat"/>
      </c:valAx>
      <c:valAx>
        <c:axId val="103631872"/>
        <c:scaling>
          <c:orientation val="minMax"/>
        </c:scaling>
        <c:axPos val="l"/>
        <c:majorGridlines/>
        <c:title>
          <c:tx>
            <c:rich>
              <a:bodyPr/>
              <a:lstStyle/>
              <a:p>
                <a:pPr>
                  <a:defRPr/>
                </a:pPr>
                <a:r>
                  <a:rPr lang="ru-RU"/>
                  <a:t>КЗ д.н.</a:t>
                </a:r>
              </a:p>
            </c:rich>
          </c:tx>
        </c:title>
        <c:numFmt formatCode="0.00" sourceLinked="1"/>
        <c:majorTickMark val="none"/>
        <c:tickLblPos val="nextTo"/>
        <c:crossAx val="103629952"/>
        <c:crosses val="autoZero"/>
        <c:crossBetween val="midCat"/>
      </c:valAx>
    </c:plotArea>
    <c:plotVisOnly val="1"/>
    <c:dispBlanksAs val="gap"/>
  </c:chart>
  <c:txPr>
    <a:bodyPr/>
    <a:lstStyle/>
    <a:p>
      <a:pPr>
        <a:defRPr>
          <a:latin typeface="Times New Roman" pitchFamily="18" charset="0"/>
          <a:cs typeface="Times New Roman"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scatterChart>
        <c:scatterStyle val="lineMarker"/>
        <c:ser>
          <c:idx val="0"/>
          <c:order val="0"/>
          <c:spPr>
            <a:ln w="28575">
              <a:noFill/>
            </a:ln>
          </c:spPr>
          <c:trendline>
            <c:trendlineType val="linear"/>
            <c:dispRSqr val="1"/>
            <c:dispEq val="1"/>
            <c:trendlineLbl>
              <c:layout>
                <c:manualLayout>
                  <c:x val="-0.47221244403273122"/>
                  <c:y val="-6.6100864908664944E-2"/>
                </c:manualLayout>
              </c:layout>
              <c:numFmt formatCode="General" sourceLinked="0"/>
              <c:spPr>
                <a:solidFill>
                  <a:sysClr val="window" lastClr="FFFFFF"/>
                </a:solidFill>
                <a:ln>
                  <a:solidFill>
                    <a:sysClr val="windowText" lastClr="000000"/>
                  </a:solidFill>
                </a:ln>
              </c:spPr>
              <c:txPr>
                <a:bodyPr/>
                <a:lstStyle/>
                <a:p>
                  <a:pPr>
                    <a:defRPr sz="1000"/>
                  </a:pPr>
                  <a:endParaRPr lang="ru-RU"/>
                </a:p>
              </c:txPr>
            </c:trendlineLbl>
          </c:trendline>
          <c:trendline>
            <c:spPr>
              <a:ln w="25400">
                <a:solidFill>
                  <a:sysClr val="windowText" lastClr="000000"/>
                </a:solidFill>
                <a:prstDash val="dashDot"/>
              </a:ln>
            </c:spPr>
            <c:trendlineType val="poly"/>
            <c:order val="2"/>
            <c:dispRSqr val="1"/>
            <c:dispEq val="1"/>
            <c:trendlineLbl>
              <c:layout>
                <c:manualLayout>
                  <c:x val="1.4115508741541346E-2"/>
                  <c:y val="0.25869869637129372"/>
                </c:manualLayout>
              </c:layout>
              <c:numFmt formatCode="#,##0.0000" sourceLinked="0"/>
              <c:spPr>
                <a:solidFill>
                  <a:schemeClr val="bg1"/>
                </a:solidFill>
                <a:ln>
                  <a:solidFill>
                    <a:schemeClr val="tx1"/>
                  </a:solidFill>
                </a:ln>
              </c:spPr>
              <c:txPr>
                <a:bodyPr/>
                <a:lstStyle/>
                <a:p>
                  <a:pPr>
                    <a:defRPr sz="1000"/>
                  </a:pPr>
                  <a:endParaRPr lang="ru-RU"/>
                </a:p>
              </c:txPr>
            </c:trendlineLbl>
          </c:trendline>
          <c:xVal>
            <c:numRef>
              <c:f>'Объем и задолж кред ФЛ'!$B$3146:$B$3228</c:f>
              <c:numCache>
                <c:formatCode>0.0</c:formatCode>
                <c:ptCount val="83"/>
                <c:pt idx="0">
                  <c:v>334.88400000000001</c:v>
                </c:pt>
                <c:pt idx="1">
                  <c:v>300.99599999999725</c:v>
                </c:pt>
                <c:pt idx="2">
                  <c:v>276.95999999999964</c:v>
                </c:pt>
                <c:pt idx="3">
                  <c:v>361.69200000000001</c:v>
                </c:pt>
                <c:pt idx="4">
                  <c:v>269.92799999999869</c:v>
                </c:pt>
                <c:pt idx="5">
                  <c:v>320.34000000000032</c:v>
                </c:pt>
                <c:pt idx="6">
                  <c:v>268.62</c:v>
                </c:pt>
                <c:pt idx="7">
                  <c:v>309.37199999999899</c:v>
                </c:pt>
                <c:pt idx="8">
                  <c:v>331.56</c:v>
                </c:pt>
                <c:pt idx="9">
                  <c:v>460.75200000000001</c:v>
                </c:pt>
                <c:pt idx="10">
                  <c:v>273.82799999999969</c:v>
                </c:pt>
                <c:pt idx="11">
                  <c:v>288.88800000000003</c:v>
                </c:pt>
                <c:pt idx="12">
                  <c:v>288.81600000000003</c:v>
                </c:pt>
                <c:pt idx="13">
                  <c:v>300.93599999999714</c:v>
                </c:pt>
                <c:pt idx="14">
                  <c:v>282.94799999999969</c:v>
                </c:pt>
                <c:pt idx="15">
                  <c:v>317.11199999999963</c:v>
                </c:pt>
                <c:pt idx="16">
                  <c:v>324.072</c:v>
                </c:pt>
                <c:pt idx="17">
                  <c:v>714.80399999999997</c:v>
                </c:pt>
                <c:pt idx="18">
                  <c:v>308.55600000000004</c:v>
                </c:pt>
                <c:pt idx="19">
                  <c:v>399.75600000000003</c:v>
                </c:pt>
                <c:pt idx="20">
                  <c:v>852.86399999999946</c:v>
                </c:pt>
                <c:pt idx="21">
                  <c:v>371.06400000000002</c:v>
                </c:pt>
                <c:pt idx="22">
                  <c:v>308.01599999999894</c:v>
                </c:pt>
                <c:pt idx="23">
                  <c:v>300.51599999999894</c:v>
                </c:pt>
                <c:pt idx="24">
                  <c:v>314.77200000000005</c:v>
                </c:pt>
                <c:pt idx="25">
                  <c:v>431.42399999999714</c:v>
                </c:pt>
                <c:pt idx="26">
                  <c:v>307.70400000000001</c:v>
                </c:pt>
                <c:pt idx="27">
                  <c:v>254.13600000000002</c:v>
                </c:pt>
                <c:pt idx="28">
                  <c:v>478.14000000000038</c:v>
                </c:pt>
                <c:pt idx="29">
                  <c:v>268.97999999999894</c:v>
                </c:pt>
                <c:pt idx="30">
                  <c:v>170.80800000000067</c:v>
                </c:pt>
                <c:pt idx="31">
                  <c:v>376.512</c:v>
                </c:pt>
                <c:pt idx="32">
                  <c:v>288.16800000000001</c:v>
                </c:pt>
                <c:pt idx="33">
                  <c:v>264</c:v>
                </c:pt>
                <c:pt idx="34">
                  <c:v>317.76</c:v>
                </c:pt>
                <c:pt idx="35">
                  <c:v>321.70800000000003</c:v>
                </c:pt>
                <c:pt idx="36">
                  <c:v>160.04399999999998</c:v>
                </c:pt>
                <c:pt idx="37">
                  <c:v>225.19200000000001</c:v>
                </c:pt>
                <c:pt idx="38">
                  <c:v>214.95600000000007</c:v>
                </c:pt>
                <c:pt idx="39">
                  <c:v>262.66800000000001</c:v>
                </c:pt>
                <c:pt idx="40">
                  <c:v>269.48400000000004</c:v>
                </c:pt>
                <c:pt idx="41">
                  <c:v>272.10000000000002</c:v>
                </c:pt>
                <c:pt idx="42">
                  <c:v>333.78000000000003</c:v>
                </c:pt>
                <c:pt idx="43">
                  <c:v>212.31600000000003</c:v>
                </c:pt>
                <c:pt idx="44">
                  <c:v>209.47200000000001</c:v>
                </c:pt>
                <c:pt idx="45">
                  <c:v>376.69200000000001</c:v>
                </c:pt>
                <c:pt idx="46">
                  <c:v>299.17200000000008</c:v>
                </c:pt>
                <c:pt idx="47">
                  <c:v>222.096</c:v>
                </c:pt>
                <c:pt idx="48">
                  <c:v>392.30399999999969</c:v>
                </c:pt>
                <c:pt idx="49">
                  <c:v>269.06400000000002</c:v>
                </c:pt>
                <c:pt idx="50">
                  <c:v>370.20000000000005</c:v>
                </c:pt>
                <c:pt idx="51">
                  <c:v>278.45999999999964</c:v>
                </c:pt>
                <c:pt idx="52">
                  <c:v>253.24799999999999</c:v>
                </c:pt>
                <c:pt idx="53">
                  <c:v>323.00400000000002</c:v>
                </c:pt>
                <c:pt idx="54">
                  <c:v>241.56</c:v>
                </c:pt>
                <c:pt idx="55">
                  <c:v>273.24</c:v>
                </c:pt>
                <c:pt idx="56">
                  <c:v>241.68</c:v>
                </c:pt>
                <c:pt idx="57">
                  <c:v>416.35199999999969</c:v>
                </c:pt>
                <c:pt idx="58">
                  <c:v>534.24</c:v>
                </c:pt>
                <c:pt idx="59">
                  <c:v>756.43199999999797</c:v>
                </c:pt>
                <c:pt idx="60">
                  <c:v>349.572</c:v>
                </c:pt>
                <c:pt idx="61">
                  <c:v>293.56799999999993</c:v>
                </c:pt>
                <c:pt idx="62">
                  <c:v>218.14799999999997</c:v>
                </c:pt>
                <c:pt idx="63">
                  <c:v>304.14000000000038</c:v>
                </c:pt>
                <c:pt idx="64">
                  <c:v>181.12800000000001</c:v>
                </c:pt>
                <c:pt idx="65">
                  <c:v>247.78800000000001</c:v>
                </c:pt>
                <c:pt idx="66">
                  <c:v>252.096</c:v>
                </c:pt>
                <c:pt idx="67">
                  <c:v>276.31200000000001</c:v>
                </c:pt>
                <c:pt idx="68">
                  <c:v>322.24799999999999</c:v>
                </c:pt>
                <c:pt idx="69">
                  <c:v>266.43599999999714</c:v>
                </c:pt>
                <c:pt idx="70">
                  <c:v>258.63599999999963</c:v>
                </c:pt>
                <c:pt idx="71">
                  <c:v>285.51599999999894</c:v>
                </c:pt>
                <c:pt idx="72">
                  <c:v>309.25200000000001</c:v>
                </c:pt>
                <c:pt idx="73">
                  <c:v>285.44399999999899</c:v>
                </c:pt>
                <c:pt idx="74">
                  <c:v>454.28399999999863</c:v>
                </c:pt>
                <c:pt idx="75">
                  <c:v>473.92799999999869</c:v>
                </c:pt>
                <c:pt idx="76">
                  <c:v>408.97200000000004</c:v>
                </c:pt>
                <c:pt idx="77">
                  <c:v>452.12400000000002</c:v>
                </c:pt>
                <c:pt idx="78">
                  <c:v>356.44799999999969</c:v>
                </c:pt>
                <c:pt idx="79">
                  <c:v>584.80799999999749</c:v>
                </c:pt>
                <c:pt idx="80">
                  <c:v>586.22399999999993</c:v>
                </c:pt>
                <c:pt idx="81">
                  <c:v>289.41599999999869</c:v>
                </c:pt>
                <c:pt idx="82">
                  <c:v>687.99599999999998</c:v>
                </c:pt>
              </c:numCache>
            </c:numRef>
          </c:xVal>
          <c:yVal>
            <c:numRef>
              <c:f>'Объем и задолж кред ФЛ'!$C$3146:$C$3228</c:f>
              <c:numCache>
                <c:formatCode>0.00</c:formatCode>
                <c:ptCount val="83"/>
                <c:pt idx="0">
                  <c:v>59.063811779216586</c:v>
                </c:pt>
                <c:pt idx="1">
                  <c:v>50.946325528802575</c:v>
                </c:pt>
                <c:pt idx="2">
                  <c:v>53.50967099160588</c:v>
                </c:pt>
                <c:pt idx="3">
                  <c:v>54.570497159388907</c:v>
                </c:pt>
                <c:pt idx="4">
                  <c:v>51.104154245619206</c:v>
                </c:pt>
                <c:pt idx="5">
                  <c:v>73.401718407719756</c:v>
                </c:pt>
                <c:pt idx="6">
                  <c:v>53.976513930463071</c:v>
                </c:pt>
                <c:pt idx="7">
                  <c:v>60.14808677352795</c:v>
                </c:pt>
                <c:pt idx="8">
                  <c:v>52.266556410254189</c:v>
                </c:pt>
                <c:pt idx="9">
                  <c:v>106.40901248550449</c:v>
                </c:pt>
                <c:pt idx="10">
                  <c:v>53.817124970877444</c:v>
                </c:pt>
                <c:pt idx="11">
                  <c:v>59.322911274459365</c:v>
                </c:pt>
                <c:pt idx="12">
                  <c:v>61.465841878514127</c:v>
                </c:pt>
                <c:pt idx="13">
                  <c:v>48.935775186971746</c:v>
                </c:pt>
                <c:pt idx="14">
                  <c:v>59.813266050657738</c:v>
                </c:pt>
                <c:pt idx="15">
                  <c:v>63.472570540198589</c:v>
                </c:pt>
                <c:pt idx="16">
                  <c:v>59.183339727906009</c:v>
                </c:pt>
                <c:pt idx="17">
                  <c:v>97.562101149655689</c:v>
                </c:pt>
                <c:pt idx="18">
                  <c:v>86.575907918237718</c:v>
                </c:pt>
                <c:pt idx="19">
                  <c:v>105.38134124465566</c:v>
                </c:pt>
                <c:pt idx="20">
                  <c:v>110.52055294493361</c:v>
                </c:pt>
                <c:pt idx="21">
                  <c:v>81.382715175537285</c:v>
                </c:pt>
                <c:pt idx="22">
                  <c:v>74.073512758012441</c:v>
                </c:pt>
                <c:pt idx="23">
                  <c:v>68.935181818833158</c:v>
                </c:pt>
                <c:pt idx="24">
                  <c:v>76.019039192020458</c:v>
                </c:pt>
                <c:pt idx="25">
                  <c:v>102.32322582930649</c:v>
                </c:pt>
                <c:pt idx="26">
                  <c:v>66.656704975864358</c:v>
                </c:pt>
                <c:pt idx="27">
                  <c:v>56.523003709926449</c:v>
                </c:pt>
                <c:pt idx="28">
                  <c:v>91.560923055137991</c:v>
                </c:pt>
                <c:pt idx="29">
                  <c:v>53.384424559226595</c:v>
                </c:pt>
                <c:pt idx="30">
                  <c:v>76.044099550465873</c:v>
                </c:pt>
                <c:pt idx="31">
                  <c:v>63.348642788173102</c:v>
                </c:pt>
                <c:pt idx="32">
                  <c:v>65.908390321864758</c:v>
                </c:pt>
                <c:pt idx="33">
                  <c:v>54.017440337289997</c:v>
                </c:pt>
                <c:pt idx="34">
                  <c:v>62.855996222852006</c:v>
                </c:pt>
                <c:pt idx="35">
                  <c:v>10.801947169110568</c:v>
                </c:pt>
                <c:pt idx="36">
                  <c:v>8.2999137012030939</c:v>
                </c:pt>
                <c:pt idx="37">
                  <c:v>35.699457468448955</c:v>
                </c:pt>
                <c:pt idx="38">
                  <c:v>41.218733766997218</c:v>
                </c:pt>
                <c:pt idx="39">
                  <c:v>44.304400031260904</c:v>
                </c:pt>
                <c:pt idx="40">
                  <c:v>11.563135681967504</c:v>
                </c:pt>
                <c:pt idx="41">
                  <c:v>54.160180782603625</c:v>
                </c:pt>
                <c:pt idx="42">
                  <c:v>66.72702762717617</c:v>
                </c:pt>
                <c:pt idx="43">
                  <c:v>52.348494237204044</c:v>
                </c:pt>
                <c:pt idx="44">
                  <c:v>49.858010311436075</c:v>
                </c:pt>
                <c:pt idx="45">
                  <c:v>67.450558710480308</c:v>
                </c:pt>
                <c:pt idx="46">
                  <c:v>71.487327671893127</c:v>
                </c:pt>
                <c:pt idx="47">
                  <c:v>62.210300915069062</c:v>
                </c:pt>
                <c:pt idx="48">
                  <c:v>78.925102366412958</c:v>
                </c:pt>
                <c:pt idx="49">
                  <c:v>58.970738527323093</c:v>
                </c:pt>
                <c:pt idx="50">
                  <c:v>62.551011926323831</c:v>
                </c:pt>
                <c:pt idx="51">
                  <c:v>71.132796794805458</c:v>
                </c:pt>
                <c:pt idx="52">
                  <c:v>53.294164838366939</c:v>
                </c:pt>
                <c:pt idx="53">
                  <c:v>68.527359071733244</c:v>
                </c:pt>
                <c:pt idx="54">
                  <c:v>54.856847900064217</c:v>
                </c:pt>
                <c:pt idx="55">
                  <c:v>64.556810040544789</c:v>
                </c:pt>
                <c:pt idx="56">
                  <c:v>82.367246164270426</c:v>
                </c:pt>
                <c:pt idx="57">
                  <c:v>83.702424430820642</c:v>
                </c:pt>
                <c:pt idx="58">
                  <c:v>163.32699146460283</c:v>
                </c:pt>
                <c:pt idx="59">
                  <c:v>176.14172520707575</c:v>
                </c:pt>
                <c:pt idx="60">
                  <c:v>129.41883343209869</c:v>
                </c:pt>
                <c:pt idx="61">
                  <c:v>72.598862632672848</c:v>
                </c:pt>
                <c:pt idx="62">
                  <c:v>57.989133718471564</c:v>
                </c:pt>
                <c:pt idx="63">
                  <c:v>83.513525619881833</c:v>
                </c:pt>
                <c:pt idx="64">
                  <c:v>61.456673330439713</c:v>
                </c:pt>
                <c:pt idx="65">
                  <c:v>61.552104116949003</c:v>
                </c:pt>
                <c:pt idx="66">
                  <c:v>59.578235036230012</c:v>
                </c:pt>
                <c:pt idx="67">
                  <c:v>77.1838169844834</c:v>
                </c:pt>
                <c:pt idx="68">
                  <c:v>94.369420441027771</c:v>
                </c:pt>
                <c:pt idx="69">
                  <c:v>91.114887267904479</c:v>
                </c:pt>
                <c:pt idx="70">
                  <c:v>70.488702091935352</c:v>
                </c:pt>
                <c:pt idx="71">
                  <c:v>84.392106832251258</c:v>
                </c:pt>
                <c:pt idx="72">
                  <c:v>67.687794483200634</c:v>
                </c:pt>
                <c:pt idx="73">
                  <c:v>78.858652144113549</c:v>
                </c:pt>
                <c:pt idx="74">
                  <c:v>116.27412630550106</c:v>
                </c:pt>
                <c:pt idx="75">
                  <c:v>93.086082324210111</c:v>
                </c:pt>
                <c:pt idx="76">
                  <c:v>69.280168874364378</c:v>
                </c:pt>
                <c:pt idx="77">
                  <c:v>85.812317541766788</c:v>
                </c:pt>
                <c:pt idx="78">
                  <c:v>84.402294185473565</c:v>
                </c:pt>
                <c:pt idx="79">
                  <c:v>121.41173254979671</c:v>
                </c:pt>
                <c:pt idx="80">
                  <c:v>98.14013334892968</c:v>
                </c:pt>
                <c:pt idx="81">
                  <c:v>65.476763785216349</c:v>
                </c:pt>
                <c:pt idx="82">
                  <c:v>83.836752596845358</c:v>
                </c:pt>
              </c:numCache>
            </c:numRef>
          </c:yVal>
        </c:ser>
        <c:axId val="103748352"/>
        <c:axId val="103750272"/>
      </c:scatterChart>
      <c:valAx>
        <c:axId val="103748352"/>
        <c:scaling>
          <c:orientation val="minMax"/>
        </c:scaling>
        <c:axPos val="b"/>
        <c:title>
          <c:tx>
            <c:rich>
              <a:bodyPr/>
              <a:lstStyle/>
              <a:p>
                <a:pPr>
                  <a:defRPr/>
                </a:pPr>
                <a:r>
                  <a:rPr lang="ru-RU"/>
                  <a:t>ДДН д.н. (год; тыс.руб.)</a:t>
                </a:r>
              </a:p>
            </c:rich>
          </c:tx>
        </c:title>
        <c:numFmt formatCode="0.0" sourceLinked="1"/>
        <c:majorTickMark val="none"/>
        <c:tickLblPos val="nextTo"/>
        <c:crossAx val="103750272"/>
        <c:crosses val="autoZero"/>
        <c:crossBetween val="midCat"/>
      </c:valAx>
      <c:valAx>
        <c:axId val="103750272"/>
        <c:scaling>
          <c:orientation val="minMax"/>
        </c:scaling>
        <c:axPos val="l"/>
        <c:majorGridlines/>
        <c:title>
          <c:tx>
            <c:rich>
              <a:bodyPr/>
              <a:lstStyle/>
              <a:p>
                <a:pPr>
                  <a:defRPr/>
                </a:pPr>
                <a:r>
                  <a:rPr lang="ru-RU"/>
                  <a:t>КЗ д.н. (тыс.руб.)</a:t>
                </a:r>
              </a:p>
            </c:rich>
          </c:tx>
        </c:title>
        <c:numFmt formatCode="0.00" sourceLinked="1"/>
        <c:majorTickMark val="none"/>
        <c:tickLblPos val="nextTo"/>
        <c:crossAx val="103748352"/>
        <c:crosses val="autoZero"/>
        <c:crossBetween val="midCat"/>
      </c:valAx>
    </c:plotArea>
    <c:plotVisOnly val="1"/>
    <c:dispBlanksAs val="gap"/>
  </c:chart>
  <c:txPr>
    <a:bodyPr/>
    <a:lstStyle/>
    <a:p>
      <a:pPr>
        <a:defRPr sz="11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D7A60-95EB-45EE-A5F7-27BD540E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3239</Words>
  <Characters>18463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trop</dc:creator>
  <cp:lastModifiedBy>ochkasova</cp:lastModifiedBy>
  <cp:revision>3</cp:revision>
  <cp:lastPrinted>2016-10-04T23:00:00Z</cp:lastPrinted>
  <dcterms:created xsi:type="dcterms:W3CDTF">2016-11-07T06:45:00Z</dcterms:created>
  <dcterms:modified xsi:type="dcterms:W3CDTF">2016-11-07T06:45:00Z</dcterms:modified>
</cp:coreProperties>
</file>