
<file path=[Content_Types].xml><?xml version="1.0" encoding="utf-8"?>
<Types xmlns="http://schemas.openxmlformats.org/package/2006/content-types">
  <Override PartName="/word/footnotes.xml" ContentType="application/vnd.openxmlformats-officedocument.wordprocessingml.footnotes+xml"/>
  <Override PartName="/word/theme/themeOverride2.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502" w:rsidRDefault="008F5502" w:rsidP="008F5502">
      <w:pPr>
        <w:spacing w:after="0"/>
        <w:ind w:firstLine="0"/>
        <w:jc w:val="both"/>
        <w:rPr>
          <w:b/>
          <w:sz w:val="28"/>
          <w:szCs w:val="28"/>
        </w:rPr>
      </w:pPr>
      <w:r w:rsidRPr="00636E1F">
        <w:rPr>
          <w:b/>
          <w:sz w:val="28"/>
          <w:szCs w:val="28"/>
        </w:rPr>
        <w:t>УДК 378.37</w:t>
      </w:r>
    </w:p>
    <w:p w:rsidR="008F5502" w:rsidRDefault="008F5502" w:rsidP="008F5502">
      <w:pPr>
        <w:spacing w:after="0"/>
        <w:ind w:firstLine="0"/>
        <w:jc w:val="both"/>
        <w:rPr>
          <w:b/>
          <w:sz w:val="28"/>
          <w:szCs w:val="28"/>
        </w:rPr>
      </w:pPr>
    </w:p>
    <w:p w:rsidR="00E70971" w:rsidRPr="008F5502" w:rsidRDefault="00E70971" w:rsidP="008F5502">
      <w:pPr>
        <w:spacing w:after="0"/>
        <w:ind w:firstLine="0"/>
        <w:jc w:val="both"/>
        <w:rPr>
          <w:i/>
          <w:sz w:val="28"/>
          <w:szCs w:val="28"/>
          <w:lang w:val="en-US"/>
        </w:rPr>
      </w:pPr>
      <w:r w:rsidRPr="00C61635">
        <w:rPr>
          <w:b/>
          <w:sz w:val="28"/>
          <w:szCs w:val="28"/>
          <w:lang w:val="en-US"/>
        </w:rPr>
        <w:t>Mari</w:t>
      </w:r>
      <w:r w:rsidRPr="00892B0F">
        <w:rPr>
          <w:b/>
          <w:sz w:val="28"/>
          <w:szCs w:val="28"/>
          <w:lang w:val="en-US"/>
        </w:rPr>
        <w:t>y</w:t>
      </w:r>
      <w:r w:rsidRPr="00C61635">
        <w:rPr>
          <w:b/>
          <w:sz w:val="28"/>
          <w:szCs w:val="28"/>
          <w:lang w:val="en-US"/>
        </w:rPr>
        <w:t>a Gennadyevna Slobodyanyuk</w:t>
      </w:r>
      <w:r w:rsidRPr="00C61635">
        <w:rPr>
          <w:sz w:val="28"/>
          <w:szCs w:val="28"/>
          <w:lang w:val="en-US"/>
        </w:rPr>
        <w:t xml:space="preserve"> –</w:t>
      </w:r>
      <w:r w:rsidRPr="00892B0F">
        <w:rPr>
          <w:sz w:val="28"/>
          <w:szCs w:val="28"/>
          <w:lang w:val="en-US"/>
        </w:rPr>
        <w:t xml:space="preserve"> </w:t>
      </w:r>
      <w:r w:rsidRPr="00C61635">
        <w:rPr>
          <w:sz w:val="28"/>
          <w:szCs w:val="28"/>
          <w:lang w:val="en-US"/>
        </w:rPr>
        <w:t xml:space="preserve">graduate student of </w:t>
      </w:r>
      <w:r w:rsidRPr="00892B0F">
        <w:rPr>
          <w:sz w:val="28"/>
          <w:szCs w:val="28"/>
          <w:lang w:val="en-US"/>
        </w:rPr>
        <w:t xml:space="preserve">the </w:t>
      </w:r>
      <w:r w:rsidRPr="00C61635">
        <w:rPr>
          <w:sz w:val="28"/>
          <w:szCs w:val="28"/>
          <w:lang w:val="en-US"/>
        </w:rPr>
        <w:t>Far</w:t>
      </w:r>
      <w:r w:rsidRPr="00892B0F">
        <w:rPr>
          <w:sz w:val="28"/>
          <w:szCs w:val="28"/>
          <w:lang w:val="en-US"/>
        </w:rPr>
        <w:t>-</w:t>
      </w:r>
      <w:r w:rsidRPr="00C61635">
        <w:rPr>
          <w:sz w:val="28"/>
          <w:szCs w:val="28"/>
          <w:lang w:val="en-US"/>
        </w:rPr>
        <w:t>East</w:t>
      </w:r>
      <w:r w:rsidRPr="00892B0F">
        <w:rPr>
          <w:sz w:val="28"/>
          <w:szCs w:val="28"/>
          <w:lang w:val="en-US"/>
        </w:rPr>
        <w:t>ern</w:t>
      </w:r>
      <w:r w:rsidRPr="00C61635">
        <w:rPr>
          <w:sz w:val="28"/>
          <w:szCs w:val="28"/>
          <w:lang w:val="en-US"/>
        </w:rPr>
        <w:t xml:space="preserve"> institute of management – branch of RANEPA (Khabarovsk)</w:t>
      </w:r>
      <w:r w:rsidR="008F5502" w:rsidRPr="008F5502">
        <w:rPr>
          <w:sz w:val="28"/>
          <w:szCs w:val="28"/>
          <w:lang w:val="en-US"/>
        </w:rPr>
        <w:t>.</w:t>
      </w:r>
      <w:r w:rsidRPr="00C61635">
        <w:rPr>
          <w:sz w:val="28"/>
          <w:szCs w:val="28"/>
          <w:lang w:val="en-US"/>
        </w:rPr>
        <w:t xml:space="preserve"> </w:t>
      </w:r>
      <w:r w:rsidRPr="008F5502">
        <w:rPr>
          <w:i/>
          <w:sz w:val="28"/>
          <w:szCs w:val="28"/>
          <w:lang w:val="en-US"/>
        </w:rPr>
        <w:t>E-mail: Slobodynukm@gmail.com</w:t>
      </w:r>
    </w:p>
    <w:p w:rsidR="00E70971" w:rsidRPr="00C61635" w:rsidRDefault="00E70971" w:rsidP="003C5D0E">
      <w:pPr>
        <w:jc w:val="both"/>
        <w:rPr>
          <w:sz w:val="28"/>
          <w:szCs w:val="28"/>
          <w:lang w:val="en-US"/>
        </w:rPr>
      </w:pPr>
    </w:p>
    <w:p w:rsidR="00E70971" w:rsidRPr="00C61635" w:rsidRDefault="00E70971" w:rsidP="008F5502">
      <w:pPr>
        <w:spacing w:after="0"/>
        <w:ind w:firstLine="0"/>
        <w:jc w:val="center"/>
        <w:rPr>
          <w:b/>
          <w:sz w:val="28"/>
          <w:szCs w:val="28"/>
          <w:lang w:val="en-US"/>
        </w:rPr>
      </w:pPr>
      <w:r w:rsidRPr="00C61635">
        <w:rPr>
          <w:b/>
          <w:sz w:val="28"/>
          <w:szCs w:val="28"/>
          <w:lang w:val="en-US"/>
        </w:rPr>
        <w:t xml:space="preserve">Motives of professional choice and </w:t>
      </w:r>
      <w:r w:rsidRPr="00892B0F">
        <w:rPr>
          <w:b/>
          <w:sz w:val="28"/>
          <w:szCs w:val="28"/>
          <w:lang w:val="en-US"/>
        </w:rPr>
        <w:t xml:space="preserve">the </w:t>
      </w:r>
      <w:r w:rsidRPr="00C61635">
        <w:rPr>
          <w:b/>
          <w:sz w:val="28"/>
          <w:szCs w:val="28"/>
          <w:lang w:val="en-US"/>
        </w:rPr>
        <w:t>employment of youth at the industrial enterprises of the region</w:t>
      </w:r>
    </w:p>
    <w:p w:rsidR="00E70971" w:rsidRPr="00C61635" w:rsidRDefault="00E70971" w:rsidP="008F5502">
      <w:pPr>
        <w:spacing w:after="0"/>
        <w:jc w:val="center"/>
        <w:rPr>
          <w:sz w:val="28"/>
          <w:szCs w:val="28"/>
          <w:lang w:val="en-US"/>
        </w:rPr>
      </w:pPr>
    </w:p>
    <w:p w:rsidR="00E70971" w:rsidRDefault="00E70971" w:rsidP="008F5502">
      <w:pPr>
        <w:spacing w:after="0"/>
        <w:ind w:firstLine="709"/>
        <w:jc w:val="both"/>
        <w:rPr>
          <w:i/>
          <w:sz w:val="28"/>
          <w:szCs w:val="28"/>
        </w:rPr>
      </w:pPr>
      <w:r w:rsidRPr="00CC32E9">
        <w:rPr>
          <w:i/>
          <w:sz w:val="28"/>
          <w:szCs w:val="28"/>
          <w:lang w:val="en-US"/>
        </w:rPr>
        <w:t>Now the prestige of working professions has considerably decreased in spite of the fact that there is really high need for skilled workers at the industrial enterprises of the territory. Due to the implementation of the projects connected with the territories of advancing social and economic development, "personnel hunger" can develop into "a personnel collapse". For the purpose of studying of the motives of choice by the youth of professions of the level of secondary professional education and their further employment in May, 2015 has conducted sociological research among the students of secondary professional institutions of Khabarovsk and Komsomolsk-on-the Amur conducting training of the skilled workers for the industrial enterprises of the territory. Results of the research are presented in the article. Motives of the professional choice and ideas of the studying youth of the employment at the enterprises of the territory are revealed. Dynamics of subjective indicators in providing the industrial enterprises of the Khabarovsk territory with young workers and specialists is shown.</w:t>
      </w:r>
    </w:p>
    <w:p w:rsidR="00CC32E9" w:rsidRDefault="00CC32E9" w:rsidP="00CC32E9">
      <w:pPr>
        <w:jc w:val="center"/>
        <w:rPr>
          <w:b/>
          <w:color w:val="000000"/>
          <w:sz w:val="28"/>
          <w:szCs w:val="28"/>
        </w:rPr>
      </w:pPr>
    </w:p>
    <w:p w:rsidR="00CC32E9" w:rsidRDefault="00CC32E9" w:rsidP="00CC32E9">
      <w:pPr>
        <w:spacing w:after="0"/>
        <w:ind w:firstLine="0"/>
        <w:jc w:val="center"/>
        <w:rPr>
          <w:b/>
          <w:color w:val="000000"/>
          <w:sz w:val="28"/>
          <w:szCs w:val="28"/>
        </w:rPr>
      </w:pPr>
      <w:r w:rsidRPr="004051FF">
        <w:rPr>
          <w:b/>
          <w:color w:val="000000"/>
          <w:sz w:val="28"/>
          <w:szCs w:val="28"/>
        </w:rPr>
        <w:t xml:space="preserve">Мотивы профессионального выбора и трудоустройства молодежи </w:t>
      </w:r>
    </w:p>
    <w:p w:rsidR="00CC32E9" w:rsidRPr="004051FF" w:rsidRDefault="00CC32E9" w:rsidP="00CC32E9">
      <w:pPr>
        <w:spacing w:after="0"/>
        <w:jc w:val="center"/>
        <w:rPr>
          <w:b/>
          <w:color w:val="000000"/>
          <w:sz w:val="28"/>
          <w:szCs w:val="28"/>
        </w:rPr>
      </w:pPr>
      <w:r w:rsidRPr="004051FF">
        <w:rPr>
          <w:b/>
          <w:color w:val="000000"/>
          <w:sz w:val="28"/>
          <w:szCs w:val="28"/>
        </w:rPr>
        <w:t>на промышленных предприятиях региона</w:t>
      </w:r>
    </w:p>
    <w:p w:rsidR="00CC32E9" w:rsidRDefault="00CC32E9" w:rsidP="00CC32E9">
      <w:pPr>
        <w:spacing w:after="0"/>
        <w:ind w:firstLine="709"/>
        <w:jc w:val="both"/>
        <w:rPr>
          <w:i/>
          <w:sz w:val="28"/>
          <w:szCs w:val="28"/>
        </w:rPr>
      </w:pPr>
    </w:p>
    <w:p w:rsidR="00CC32E9" w:rsidRPr="00CC32E9" w:rsidRDefault="00CC32E9" w:rsidP="00CC32E9">
      <w:pPr>
        <w:spacing w:after="0"/>
        <w:ind w:firstLine="709"/>
        <w:jc w:val="both"/>
        <w:rPr>
          <w:i/>
          <w:sz w:val="28"/>
          <w:szCs w:val="28"/>
        </w:rPr>
      </w:pPr>
      <w:r w:rsidRPr="005B0401">
        <w:rPr>
          <w:i/>
          <w:sz w:val="28"/>
          <w:szCs w:val="28"/>
        </w:rPr>
        <w:t>В настоящее время престиж рабочих профессий заметно снизился, несмотря на то, что существует реально высокая потребность в квалифицированных рабочих кадрах на промышленных предприятиях края. В связи с реализацией проектов, связанных с территориями опережающего социально-экономического развития, «кадровый голод» может перерасти в «кадровый коллапс». С целью изучения мотивов выбора молодежью профессий уровня среднего профессионального образования и дальнейшего их трудоустройства в мае 2015 г. было проведено социологическое исследование среди учащихся средних профессиональных учреждений гг. Хабаровска и Комсомольска-на-Амуре, ведущих подготовку квалифицированных рабочих кадров для промышленных предприятий края. Результаты исследования представлены в статье. Выявлены мотивы профессионального выбора и представлений учащейся молодежи о своем трудоустройстве на предприятиях края. Показана динамика субъективных индикаторов в обеспечении промышленных предприятий Хабаровского края молодыми рабочими и специалистами.</w:t>
      </w:r>
    </w:p>
    <w:p w:rsidR="00E70971" w:rsidRPr="00CC32E9" w:rsidRDefault="00E70971" w:rsidP="008F5502">
      <w:pPr>
        <w:tabs>
          <w:tab w:val="left" w:pos="0"/>
          <w:tab w:val="left" w:pos="1134"/>
        </w:tabs>
        <w:spacing w:after="0"/>
        <w:ind w:firstLine="709"/>
        <w:jc w:val="both"/>
        <w:rPr>
          <w:i/>
          <w:color w:val="000000"/>
          <w:sz w:val="28"/>
          <w:szCs w:val="28"/>
          <w:lang w:val="en-US"/>
        </w:rPr>
      </w:pPr>
      <w:r w:rsidRPr="004051FF">
        <w:rPr>
          <w:b/>
          <w:i/>
          <w:color w:val="000000"/>
          <w:sz w:val="28"/>
          <w:szCs w:val="28"/>
          <w:lang w:val="en-US"/>
        </w:rPr>
        <w:lastRenderedPageBreak/>
        <w:t xml:space="preserve">Keywords: </w:t>
      </w:r>
      <w:r w:rsidRPr="00CC32E9">
        <w:rPr>
          <w:i/>
          <w:color w:val="000000"/>
          <w:sz w:val="28"/>
          <w:szCs w:val="28"/>
          <w:lang w:val="en-US"/>
        </w:rPr>
        <w:t>youth, career choices, working skills, motives of choice of profession, vocational education</w:t>
      </w:r>
      <w:r w:rsidR="00CC32E9" w:rsidRPr="00CC32E9">
        <w:rPr>
          <w:i/>
          <w:color w:val="000000"/>
          <w:sz w:val="28"/>
          <w:szCs w:val="28"/>
          <w:lang w:val="en-US"/>
        </w:rPr>
        <w:t>.</w:t>
      </w:r>
    </w:p>
    <w:p w:rsidR="00CC32E9" w:rsidRDefault="00CC32E9" w:rsidP="008F5502">
      <w:pPr>
        <w:tabs>
          <w:tab w:val="left" w:pos="0"/>
          <w:tab w:val="left" w:pos="1134"/>
        </w:tabs>
        <w:spacing w:after="0"/>
        <w:ind w:firstLine="709"/>
        <w:jc w:val="both"/>
        <w:rPr>
          <w:b/>
          <w:i/>
          <w:color w:val="000000"/>
          <w:sz w:val="28"/>
          <w:szCs w:val="28"/>
        </w:rPr>
      </w:pPr>
    </w:p>
    <w:p w:rsidR="00CC32E9" w:rsidRDefault="00CC32E9" w:rsidP="008F5502">
      <w:pPr>
        <w:tabs>
          <w:tab w:val="left" w:pos="0"/>
          <w:tab w:val="left" w:pos="1134"/>
        </w:tabs>
        <w:spacing w:after="0"/>
        <w:ind w:firstLine="709"/>
        <w:jc w:val="both"/>
        <w:rPr>
          <w:i/>
          <w:color w:val="000000"/>
          <w:sz w:val="28"/>
          <w:szCs w:val="28"/>
        </w:rPr>
      </w:pPr>
      <w:r w:rsidRPr="004051FF">
        <w:rPr>
          <w:b/>
          <w:i/>
          <w:color w:val="000000"/>
          <w:sz w:val="28"/>
          <w:szCs w:val="28"/>
        </w:rPr>
        <w:t xml:space="preserve">Ключевые слова: </w:t>
      </w:r>
      <w:r w:rsidRPr="004051FF">
        <w:rPr>
          <w:i/>
          <w:color w:val="000000"/>
          <w:sz w:val="28"/>
          <w:szCs w:val="28"/>
        </w:rPr>
        <w:t>профессиональный выбор, рабочие профессии, мотивы выбора профессии, молодежь, система профессионального образования</w:t>
      </w:r>
      <w:r>
        <w:rPr>
          <w:i/>
          <w:color w:val="000000"/>
          <w:sz w:val="28"/>
          <w:szCs w:val="28"/>
        </w:rPr>
        <w:t>.</w:t>
      </w:r>
    </w:p>
    <w:p w:rsidR="00CC32E9" w:rsidRPr="00CC32E9" w:rsidRDefault="00CC32E9" w:rsidP="008F5502">
      <w:pPr>
        <w:tabs>
          <w:tab w:val="left" w:pos="0"/>
          <w:tab w:val="left" w:pos="1134"/>
        </w:tabs>
        <w:spacing w:after="0"/>
        <w:ind w:firstLine="709"/>
        <w:jc w:val="both"/>
        <w:rPr>
          <w:color w:val="000000"/>
          <w:sz w:val="28"/>
          <w:szCs w:val="28"/>
        </w:rPr>
      </w:pPr>
    </w:p>
    <w:p w:rsidR="00E70971" w:rsidRPr="00C61635" w:rsidRDefault="00E70971" w:rsidP="008F5502">
      <w:pPr>
        <w:spacing w:after="0"/>
        <w:ind w:firstLine="709"/>
        <w:jc w:val="both"/>
        <w:rPr>
          <w:sz w:val="28"/>
          <w:szCs w:val="28"/>
          <w:lang w:val="en-US"/>
        </w:rPr>
      </w:pPr>
      <w:r w:rsidRPr="00C61635">
        <w:rPr>
          <w:sz w:val="28"/>
          <w:szCs w:val="28"/>
          <w:lang w:val="en-US"/>
        </w:rPr>
        <w:t xml:space="preserve">Successful </w:t>
      </w:r>
      <w:r>
        <w:rPr>
          <w:sz w:val="28"/>
          <w:szCs w:val="28"/>
          <w:lang w:val="en-US"/>
        </w:rPr>
        <w:t>life</w:t>
      </w:r>
      <w:r w:rsidRPr="00C61635">
        <w:rPr>
          <w:sz w:val="28"/>
          <w:szCs w:val="28"/>
          <w:lang w:val="en-US"/>
        </w:rPr>
        <w:t xml:space="preserve"> start of young people, </w:t>
      </w:r>
      <w:r>
        <w:rPr>
          <w:sz w:val="28"/>
          <w:szCs w:val="28"/>
          <w:lang w:val="en-US"/>
        </w:rPr>
        <w:t>getting</w:t>
      </w:r>
      <w:r w:rsidRPr="00C61635">
        <w:rPr>
          <w:sz w:val="28"/>
          <w:szCs w:val="28"/>
          <w:lang w:val="en-US"/>
        </w:rPr>
        <w:t xml:space="preserve"> of knowledge and the status by them aren't imaginable out of </w:t>
      </w:r>
      <w:r>
        <w:rPr>
          <w:sz w:val="28"/>
          <w:szCs w:val="28"/>
          <w:lang w:val="en-US"/>
        </w:rPr>
        <w:t xml:space="preserve">the </w:t>
      </w:r>
      <w:r w:rsidRPr="00C61635">
        <w:rPr>
          <w:sz w:val="28"/>
          <w:szCs w:val="28"/>
          <w:lang w:val="en-US"/>
        </w:rPr>
        <w:t xml:space="preserve">high-quality educational and vocational training today. The education system is the most important external regulator of formation of educational and professional trajectories of youth. According to </w:t>
      </w:r>
      <w:r>
        <w:rPr>
          <w:sz w:val="28"/>
          <w:szCs w:val="28"/>
          <w:lang w:val="en-US"/>
        </w:rPr>
        <w:t xml:space="preserve">the </w:t>
      </w:r>
      <w:r w:rsidRPr="00C61635">
        <w:rPr>
          <w:sz w:val="28"/>
          <w:szCs w:val="28"/>
          <w:lang w:val="en-US"/>
        </w:rPr>
        <w:t xml:space="preserve">needs of modern production and orientation to </w:t>
      </w:r>
      <w:r>
        <w:rPr>
          <w:sz w:val="28"/>
          <w:szCs w:val="28"/>
          <w:lang w:val="en-US"/>
        </w:rPr>
        <w:t xml:space="preserve">the </w:t>
      </w:r>
      <w:r w:rsidRPr="00C61635">
        <w:rPr>
          <w:sz w:val="28"/>
          <w:szCs w:val="28"/>
          <w:lang w:val="en-US"/>
        </w:rPr>
        <w:t xml:space="preserve">perspective requirements </w:t>
      </w:r>
      <w:r>
        <w:rPr>
          <w:sz w:val="28"/>
          <w:szCs w:val="28"/>
          <w:lang w:val="en-US"/>
        </w:rPr>
        <w:t>it</w:t>
      </w:r>
      <w:r w:rsidRPr="00C61635">
        <w:rPr>
          <w:sz w:val="28"/>
          <w:szCs w:val="28"/>
          <w:lang w:val="en-US"/>
        </w:rPr>
        <w:t xml:space="preserve"> prepares </w:t>
      </w:r>
      <w:r>
        <w:rPr>
          <w:sz w:val="28"/>
          <w:szCs w:val="28"/>
          <w:lang w:val="en-US"/>
        </w:rPr>
        <w:t>the personnel</w:t>
      </w:r>
      <w:r w:rsidRPr="00C61635">
        <w:rPr>
          <w:sz w:val="28"/>
          <w:szCs w:val="28"/>
          <w:lang w:val="en-US"/>
        </w:rPr>
        <w:t xml:space="preserve"> of different profile and level of qualifications, puts the competences giving the chance of successful activity in </w:t>
      </w:r>
      <w:r>
        <w:rPr>
          <w:sz w:val="28"/>
          <w:szCs w:val="28"/>
          <w:lang w:val="en-US"/>
        </w:rPr>
        <w:t xml:space="preserve">the </w:t>
      </w:r>
      <w:r w:rsidRPr="00C61635">
        <w:rPr>
          <w:sz w:val="28"/>
          <w:szCs w:val="28"/>
          <w:lang w:val="en-US"/>
        </w:rPr>
        <w:t xml:space="preserve">new working conditions of social life. In spite of the fact that the system of professional education gives an impetus for development of </w:t>
      </w:r>
      <w:r>
        <w:rPr>
          <w:sz w:val="28"/>
          <w:szCs w:val="28"/>
          <w:lang w:val="en-US"/>
        </w:rPr>
        <w:t xml:space="preserve">the </w:t>
      </w:r>
      <w:r w:rsidRPr="00C61635">
        <w:rPr>
          <w:sz w:val="28"/>
          <w:szCs w:val="28"/>
          <w:lang w:val="en-US"/>
        </w:rPr>
        <w:t xml:space="preserve">society, it is conservative and not always manages to react to </w:t>
      </w:r>
      <w:r>
        <w:rPr>
          <w:sz w:val="28"/>
          <w:szCs w:val="28"/>
          <w:lang w:val="en-US"/>
        </w:rPr>
        <w:t xml:space="preserve">the </w:t>
      </w:r>
      <w:r w:rsidRPr="00C61635">
        <w:rPr>
          <w:sz w:val="28"/>
          <w:szCs w:val="28"/>
          <w:lang w:val="en-US"/>
        </w:rPr>
        <w:t xml:space="preserve">society changes adequately. On the one hand, it is the positive moment as the system of professional education "… plays a counterbalance role to </w:t>
      </w:r>
      <w:r>
        <w:rPr>
          <w:sz w:val="28"/>
          <w:szCs w:val="28"/>
          <w:lang w:val="en-US"/>
        </w:rPr>
        <w:t xml:space="preserve">the </w:t>
      </w:r>
      <w:r w:rsidRPr="00C61635">
        <w:rPr>
          <w:sz w:val="28"/>
          <w:szCs w:val="28"/>
          <w:lang w:val="en-US"/>
        </w:rPr>
        <w:t xml:space="preserve">destructive centrifugal processes in </w:t>
      </w:r>
      <w:r>
        <w:rPr>
          <w:sz w:val="28"/>
          <w:szCs w:val="28"/>
          <w:lang w:val="en-US"/>
        </w:rPr>
        <w:t xml:space="preserve">the </w:t>
      </w:r>
      <w:r w:rsidRPr="00C61635">
        <w:rPr>
          <w:sz w:val="28"/>
          <w:szCs w:val="28"/>
          <w:lang w:val="en-US"/>
        </w:rPr>
        <w:t xml:space="preserve">society" (G.A. Balykhin), and on the other hand, conservatism complicates </w:t>
      </w:r>
      <w:r>
        <w:rPr>
          <w:sz w:val="28"/>
          <w:szCs w:val="28"/>
          <w:lang w:val="en-US"/>
        </w:rPr>
        <w:t xml:space="preserve">the </w:t>
      </w:r>
      <w:r w:rsidRPr="00C61635">
        <w:rPr>
          <w:sz w:val="28"/>
          <w:szCs w:val="28"/>
          <w:lang w:val="en-US"/>
        </w:rPr>
        <w:t xml:space="preserve">speed of response to </w:t>
      </w:r>
      <w:r>
        <w:rPr>
          <w:sz w:val="28"/>
          <w:szCs w:val="28"/>
          <w:lang w:val="en-US"/>
        </w:rPr>
        <w:t xml:space="preserve">the </w:t>
      </w:r>
      <w:r w:rsidRPr="00C61635">
        <w:rPr>
          <w:sz w:val="28"/>
          <w:szCs w:val="28"/>
          <w:lang w:val="en-US"/>
        </w:rPr>
        <w:t xml:space="preserve">variability of external environment, doesn't meet the modern requirements of flexibility and mobility, solves the arisen problems, but doesn't warn them. </w:t>
      </w:r>
    </w:p>
    <w:p w:rsidR="00E70971" w:rsidRPr="00C61635" w:rsidRDefault="00E70971" w:rsidP="008F5502">
      <w:pPr>
        <w:spacing w:after="0"/>
        <w:ind w:firstLine="709"/>
        <w:jc w:val="both"/>
        <w:rPr>
          <w:sz w:val="28"/>
          <w:szCs w:val="28"/>
          <w:lang w:val="en-US"/>
        </w:rPr>
      </w:pPr>
      <w:r w:rsidRPr="00C61635">
        <w:rPr>
          <w:sz w:val="28"/>
          <w:szCs w:val="28"/>
          <w:lang w:val="en-US"/>
        </w:rPr>
        <w:t xml:space="preserve">Now there is an imbalance between </w:t>
      </w:r>
      <w:r>
        <w:rPr>
          <w:sz w:val="28"/>
          <w:szCs w:val="28"/>
          <w:lang w:val="en-US"/>
        </w:rPr>
        <w:t xml:space="preserve">the </w:t>
      </w:r>
      <w:r w:rsidRPr="00C61635">
        <w:rPr>
          <w:sz w:val="28"/>
          <w:szCs w:val="28"/>
          <w:lang w:val="en-US"/>
        </w:rPr>
        <w:t xml:space="preserve">needs of industrial production for technical </w:t>
      </w:r>
      <w:r>
        <w:rPr>
          <w:sz w:val="28"/>
          <w:szCs w:val="28"/>
          <w:lang w:val="en-US"/>
        </w:rPr>
        <w:t>personnel</w:t>
      </w:r>
      <w:r w:rsidRPr="00C61635">
        <w:rPr>
          <w:sz w:val="28"/>
          <w:szCs w:val="28"/>
          <w:lang w:val="en-US"/>
        </w:rPr>
        <w:t xml:space="preserve"> and offers of </w:t>
      </w:r>
      <w:r>
        <w:rPr>
          <w:sz w:val="28"/>
          <w:szCs w:val="28"/>
          <w:lang w:val="en-US"/>
        </w:rPr>
        <w:t xml:space="preserve">the </w:t>
      </w:r>
      <w:r w:rsidRPr="00C61635">
        <w:rPr>
          <w:sz w:val="28"/>
          <w:szCs w:val="28"/>
          <w:lang w:val="en-US"/>
        </w:rPr>
        <w:t xml:space="preserve">system of professional education which is focused on training of specialists with the higher education, satisfying inquiries of the majority of youth. Providing the industrial enterprises with </w:t>
      </w:r>
      <w:r>
        <w:rPr>
          <w:sz w:val="28"/>
          <w:szCs w:val="28"/>
          <w:lang w:val="en-US"/>
        </w:rPr>
        <w:t xml:space="preserve">the </w:t>
      </w:r>
      <w:r w:rsidRPr="00C61635">
        <w:rPr>
          <w:sz w:val="28"/>
          <w:szCs w:val="28"/>
          <w:lang w:val="en-US"/>
        </w:rPr>
        <w:t xml:space="preserve">young workers and </w:t>
      </w:r>
      <w:r>
        <w:rPr>
          <w:sz w:val="28"/>
          <w:szCs w:val="28"/>
          <w:lang w:val="en-US"/>
        </w:rPr>
        <w:t>specialists</w:t>
      </w:r>
      <w:r w:rsidRPr="00C61635">
        <w:rPr>
          <w:sz w:val="28"/>
          <w:szCs w:val="28"/>
          <w:lang w:val="en-US"/>
        </w:rPr>
        <w:t xml:space="preserve"> in </w:t>
      </w:r>
      <w:r>
        <w:rPr>
          <w:sz w:val="28"/>
          <w:szCs w:val="28"/>
          <w:lang w:val="en-US"/>
        </w:rPr>
        <w:t xml:space="preserve">the </w:t>
      </w:r>
      <w:r w:rsidRPr="00C61635">
        <w:rPr>
          <w:sz w:val="28"/>
          <w:szCs w:val="28"/>
          <w:lang w:val="en-US"/>
        </w:rPr>
        <w:t xml:space="preserve">modern social and economic conditions is one of the most actual problems. "I believe, – the Russian President V.V. Putin noted, – that one of </w:t>
      </w:r>
      <w:r>
        <w:rPr>
          <w:sz w:val="28"/>
          <w:szCs w:val="28"/>
          <w:lang w:val="en-US"/>
        </w:rPr>
        <w:t xml:space="preserve">the </w:t>
      </w:r>
      <w:r w:rsidRPr="00C61635">
        <w:rPr>
          <w:sz w:val="28"/>
          <w:szCs w:val="28"/>
          <w:lang w:val="en-US"/>
        </w:rPr>
        <w:t xml:space="preserve">basic problems of the state and business is a development of professional education, first of all, of secondary and primary education. It is necessary to develop it </w:t>
      </w:r>
      <w:r>
        <w:rPr>
          <w:sz w:val="28"/>
          <w:szCs w:val="28"/>
          <w:lang w:val="en-US"/>
        </w:rPr>
        <w:t>according to</w:t>
      </w:r>
      <w:r w:rsidRPr="00C61635">
        <w:rPr>
          <w:sz w:val="28"/>
          <w:szCs w:val="28"/>
          <w:lang w:val="en-US"/>
        </w:rPr>
        <w:t xml:space="preserve"> </w:t>
      </w:r>
      <w:r>
        <w:rPr>
          <w:sz w:val="28"/>
          <w:szCs w:val="28"/>
          <w:lang w:val="en-US"/>
        </w:rPr>
        <w:t xml:space="preserve">the </w:t>
      </w:r>
      <w:r w:rsidRPr="00C61635">
        <w:rPr>
          <w:sz w:val="28"/>
          <w:szCs w:val="28"/>
          <w:lang w:val="en-US"/>
        </w:rPr>
        <w:t>requirement</w:t>
      </w:r>
      <w:r>
        <w:rPr>
          <w:sz w:val="28"/>
          <w:szCs w:val="28"/>
          <w:lang w:val="en-US"/>
        </w:rPr>
        <w:t>s</w:t>
      </w:r>
      <w:r w:rsidRPr="00C61635">
        <w:rPr>
          <w:sz w:val="28"/>
          <w:szCs w:val="28"/>
          <w:lang w:val="en-US"/>
        </w:rPr>
        <w:t xml:space="preserve"> of modern production, to update </w:t>
      </w:r>
      <w:r>
        <w:rPr>
          <w:sz w:val="28"/>
          <w:szCs w:val="28"/>
          <w:lang w:val="en-US"/>
        </w:rPr>
        <w:t xml:space="preserve">the </w:t>
      </w:r>
      <w:r w:rsidRPr="00C61635">
        <w:rPr>
          <w:sz w:val="28"/>
          <w:szCs w:val="28"/>
          <w:lang w:val="en-US"/>
        </w:rPr>
        <w:t xml:space="preserve">technical base of training of </w:t>
      </w:r>
      <w:r>
        <w:rPr>
          <w:sz w:val="28"/>
          <w:szCs w:val="28"/>
          <w:lang w:val="en-US"/>
        </w:rPr>
        <w:t xml:space="preserve">the </w:t>
      </w:r>
      <w:r w:rsidRPr="00C61635">
        <w:rPr>
          <w:sz w:val="28"/>
          <w:szCs w:val="28"/>
          <w:lang w:val="en-US"/>
        </w:rPr>
        <w:t>specialists" [1].</w:t>
      </w:r>
    </w:p>
    <w:p w:rsidR="00E70971" w:rsidRPr="00C61635" w:rsidRDefault="00E70971" w:rsidP="008F5502">
      <w:pPr>
        <w:spacing w:after="0"/>
        <w:ind w:firstLine="709"/>
        <w:jc w:val="both"/>
        <w:rPr>
          <w:sz w:val="28"/>
          <w:szCs w:val="28"/>
          <w:lang w:val="en-US"/>
        </w:rPr>
      </w:pPr>
      <w:r w:rsidRPr="00C61635">
        <w:rPr>
          <w:sz w:val="28"/>
          <w:szCs w:val="28"/>
          <w:lang w:val="en-US"/>
        </w:rPr>
        <w:t xml:space="preserve">The industrial enterprises of </w:t>
      </w:r>
      <w:r>
        <w:rPr>
          <w:sz w:val="28"/>
          <w:szCs w:val="28"/>
          <w:lang w:val="en-US"/>
        </w:rPr>
        <w:t xml:space="preserve">the </w:t>
      </w:r>
      <w:smartTag w:uri="urn:schemas-microsoft-com:office:smarttags" w:element="City">
        <w:smartTag w:uri="urn:schemas-microsoft-com:office:smarttags" w:element="place">
          <w:r w:rsidRPr="00C61635">
            <w:rPr>
              <w:sz w:val="28"/>
              <w:szCs w:val="28"/>
              <w:lang w:val="en-US"/>
            </w:rPr>
            <w:t>Khabarovsk</w:t>
          </w:r>
        </w:smartTag>
      </w:smartTag>
      <w:r w:rsidRPr="00C61635">
        <w:rPr>
          <w:sz w:val="28"/>
          <w:szCs w:val="28"/>
          <w:lang w:val="en-US"/>
        </w:rPr>
        <w:t xml:space="preserve"> </w:t>
      </w:r>
      <w:r>
        <w:rPr>
          <w:sz w:val="28"/>
          <w:szCs w:val="28"/>
          <w:lang w:val="en-US"/>
        </w:rPr>
        <w:t>territory</w:t>
      </w:r>
      <w:r w:rsidRPr="00C61635">
        <w:rPr>
          <w:sz w:val="28"/>
          <w:szCs w:val="28"/>
          <w:lang w:val="en-US"/>
        </w:rPr>
        <w:t xml:space="preserve"> </w:t>
      </w:r>
      <w:r>
        <w:rPr>
          <w:sz w:val="28"/>
          <w:szCs w:val="28"/>
          <w:lang w:val="en-US"/>
        </w:rPr>
        <w:t>have</w:t>
      </w:r>
      <w:r w:rsidRPr="00C61635">
        <w:rPr>
          <w:sz w:val="28"/>
          <w:szCs w:val="28"/>
          <w:lang w:val="en-US"/>
        </w:rPr>
        <w:t xml:space="preserve"> considerable "personnel hunger" for </w:t>
      </w:r>
      <w:r>
        <w:rPr>
          <w:sz w:val="28"/>
          <w:szCs w:val="28"/>
          <w:lang w:val="en-US"/>
        </w:rPr>
        <w:t xml:space="preserve">the </w:t>
      </w:r>
      <w:r w:rsidRPr="00C61635">
        <w:rPr>
          <w:sz w:val="28"/>
          <w:szCs w:val="28"/>
          <w:lang w:val="en-US"/>
        </w:rPr>
        <w:t xml:space="preserve">highly professional </w:t>
      </w:r>
      <w:r>
        <w:rPr>
          <w:sz w:val="28"/>
          <w:szCs w:val="28"/>
          <w:lang w:val="en-US"/>
        </w:rPr>
        <w:t>staff</w:t>
      </w:r>
      <w:r w:rsidRPr="00C61635">
        <w:rPr>
          <w:sz w:val="28"/>
          <w:szCs w:val="28"/>
          <w:lang w:val="en-US"/>
        </w:rPr>
        <w:t xml:space="preserve"> of workers and </w:t>
      </w:r>
      <w:r>
        <w:rPr>
          <w:sz w:val="28"/>
          <w:szCs w:val="28"/>
          <w:lang w:val="en-US"/>
        </w:rPr>
        <w:t>specialists</w:t>
      </w:r>
      <w:r w:rsidRPr="00C61635">
        <w:rPr>
          <w:sz w:val="28"/>
          <w:szCs w:val="28"/>
          <w:lang w:val="en-US"/>
        </w:rPr>
        <w:t xml:space="preserve">. According to the deputy director for </w:t>
      </w:r>
      <w:r>
        <w:rPr>
          <w:sz w:val="28"/>
          <w:szCs w:val="28"/>
          <w:lang w:val="en-US"/>
        </w:rPr>
        <w:t xml:space="preserve">the </w:t>
      </w:r>
      <w:r w:rsidRPr="00C61635">
        <w:rPr>
          <w:sz w:val="28"/>
          <w:szCs w:val="28"/>
          <w:lang w:val="en-US"/>
        </w:rPr>
        <w:t>regional policy and development of PJSC "Sukho</w:t>
      </w:r>
      <w:r>
        <w:rPr>
          <w:sz w:val="28"/>
          <w:szCs w:val="28"/>
          <w:lang w:val="en-US"/>
        </w:rPr>
        <w:t>y</w:t>
      </w:r>
      <w:r w:rsidRPr="00C61635">
        <w:rPr>
          <w:sz w:val="28"/>
          <w:szCs w:val="28"/>
          <w:lang w:val="en-US"/>
        </w:rPr>
        <w:t xml:space="preserve">" Company KNAAZ of Gagarin" S. Bocharov, </w:t>
      </w:r>
      <w:r>
        <w:rPr>
          <w:sz w:val="28"/>
          <w:szCs w:val="28"/>
          <w:lang w:val="en-US"/>
        </w:rPr>
        <w:t>it</w:t>
      </w:r>
      <w:r w:rsidRPr="00C61635">
        <w:rPr>
          <w:sz w:val="28"/>
          <w:szCs w:val="28"/>
          <w:lang w:val="en-US"/>
        </w:rPr>
        <w:t xml:space="preserve"> can develop into "personnel collapse" in connection with implementation of the projects connected with </w:t>
      </w:r>
      <w:r>
        <w:rPr>
          <w:sz w:val="28"/>
          <w:szCs w:val="28"/>
          <w:lang w:val="en-US"/>
        </w:rPr>
        <w:t xml:space="preserve">the </w:t>
      </w:r>
      <w:r w:rsidRPr="00C61635">
        <w:rPr>
          <w:sz w:val="28"/>
          <w:szCs w:val="28"/>
          <w:lang w:val="en-US"/>
        </w:rPr>
        <w:t xml:space="preserve">territories of advancing social and economic development (further – </w:t>
      </w:r>
      <w:r>
        <w:rPr>
          <w:sz w:val="28"/>
          <w:szCs w:val="28"/>
          <w:lang w:val="en-US"/>
        </w:rPr>
        <w:t>TASED</w:t>
      </w:r>
      <w:r w:rsidRPr="00C61635">
        <w:rPr>
          <w:sz w:val="28"/>
          <w:szCs w:val="28"/>
          <w:lang w:val="en-US"/>
        </w:rPr>
        <w:t xml:space="preserve">). As </w:t>
      </w:r>
      <w:r>
        <w:rPr>
          <w:sz w:val="28"/>
          <w:szCs w:val="28"/>
          <w:lang w:val="en-US"/>
        </w:rPr>
        <w:t xml:space="preserve">the </w:t>
      </w:r>
      <w:r w:rsidRPr="00C61635">
        <w:rPr>
          <w:sz w:val="28"/>
          <w:szCs w:val="28"/>
          <w:lang w:val="en-US"/>
        </w:rPr>
        <w:t xml:space="preserve">experts note, it is expected that three first </w:t>
      </w:r>
      <w:r>
        <w:rPr>
          <w:sz w:val="28"/>
          <w:szCs w:val="28"/>
          <w:lang w:val="en-US"/>
        </w:rPr>
        <w:t>TASED</w:t>
      </w:r>
      <w:r w:rsidRPr="00C61635">
        <w:rPr>
          <w:sz w:val="28"/>
          <w:szCs w:val="28"/>
          <w:lang w:val="en-US"/>
        </w:rPr>
        <w:t xml:space="preserve"> will give to the </w:t>
      </w:r>
      <w:smartTag w:uri="urn:schemas-microsoft-com:office:smarttags" w:element="City">
        <w:smartTag w:uri="urn:schemas-microsoft-com:office:smarttags" w:element="place">
          <w:r w:rsidRPr="00C61635">
            <w:rPr>
              <w:sz w:val="28"/>
              <w:szCs w:val="28"/>
              <w:lang w:val="en-US"/>
            </w:rPr>
            <w:t>Far East</w:t>
          </w:r>
        </w:smartTag>
      </w:smartTag>
      <w:r w:rsidRPr="00C61635">
        <w:rPr>
          <w:sz w:val="28"/>
          <w:szCs w:val="28"/>
          <w:lang w:val="en-US"/>
        </w:rPr>
        <w:t xml:space="preserve"> about 7,5 thousand new workplaces. At the same time, it is only internal requirement </w:t>
      </w:r>
      <w:r>
        <w:rPr>
          <w:sz w:val="28"/>
          <w:szCs w:val="28"/>
          <w:lang w:val="en-US"/>
        </w:rPr>
        <w:t>of TASED</w:t>
      </w:r>
      <w:r w:rsidRPr="00C61635">
        <w:rPr>
          <w:sz w:val="28"/>
          <w:szCs w:val="28"/>
          <w:lang w:val="en-US"/>
        </w:rPr>
        <w:t xml:space="preserve">. However </w:t>
      </w:r>
      <w:r>
        <w:rPr>
          <w:sz w:val="28"/>
          <w:szCs w:val="28"/>
          <w:lang w:val="en-US"/>
        </w:rPr>
        <w:t xml:space="preserve">the </w:t>
      </w:r>
      <w:r w:rsidRPr="00C61635">
        <w:rPr>
          <w:sz w:val="28"/>
          <w:szCs w:val="28"/>
          <w:lang w:val="en-US"/>
        </w:rPr>
        <w:t xml:space="preserve">experience of other countries has shown that about 6 new workplaces beyond </w:t>
      </w:r>
      <w:r>
        <w:rPr>
          <w:sz w:val="28"/>
          <w:szCs w:val="28"/>
          <w:lang w:val="en-US"/>
        </w:rPr>
        <w:t>its</w:t>
      </w:r>
      <w:r w:rsidRPr="00C61635">
        <w:rPr>
          <w:sz w:val="28"/>
          <w:szCs w:val="28"/>
          <w:lang w:val="en-US"/>
        </w:rPr>
        <w:t xml:space="preserve"> limits are the share of each workplace created in the special territory. The need for transport and logistic services increases, additional loading lays down on the power, municipal, food organizations. The problem is that the formed places just couldn't be taken in connection with </w:t>
      </w:r>
      <w:r>
        <w:rPr>
          <w:sz w:val="28"/>
          <w:szCs w:val="28"/>
          <w:lang w:val="en-US"/>
        </w:rPr>
        <w:t xml:space="preserve">the </w:t>
      </w:r>
      <w:r w:rsidRPr="00C61635">
        <w:rPr>
          <w:sz w:val="28"/>
          <w:szCs w:val="28"/>
          <w:lang w:val="en-US"/>
        </w:rPr>
        <w:lastRenderedPageBreak/>
        <w:t xml:space="preserve">large-scale outflow of population from the region, undeveloped social infrastructure and the low real wage [2]. </w:t>
      </w:r>
    </w:p>
    <w:p w:rsidR="00E70971" w:rsidRPr="00C61635" w:rsidRDefault="00E70971" w:rsidP="008F5502">
      <w:pPr>
        <w:spacing w:after="0"/>
        <w:ind w:firstLine="709"/>
        <w:jc w:val="both"/>
        <w:rPr>
          <w:sz w:val="28"/>
          <w:szCs w:val="28"/>
          <w:lang w:val="en-US"/>
        </w:rPr>
      </w:pPr>
      <w:r>
        <w:rPr>
          <w:sz w:val="28"/>
          <w:szCs w:val="28"/>
          <w:lang w:val="en-US"/>
        </w:rPr>
        <w:t>D</w:t>
      </w:r>
      <w:r w:rsidRPr="00C61635">
        <w:rPr>
          <w:sz w:val="28"/>
          <w:szCs w:val="28"/>
          <w:lang w:val="en-US"/>
        </w:rPr>
        <w:t xml:space="preserve">irector of </w:t>
      </w:r>
      <w:r>
        <w:rPr>
          <w:sz w:val="28"/>
          <w:szCs w:val="28"/>
          <w:lang w:val="en-US"/>
        </w:rPr>
        <w:t xml:space="preserve">the </w:t>
      </w:r>
      <w:r w:rsidRPr="00C61635">
        <w:rPr>
          <w:sz w:val="28"/>
          <w:szCs w:val="28"/>
          <w:lang w:val="en-US"/>
        </w:rPr>
        <w:t xml:space="preserve">Autonomous Non-Commercial Organization "Agency of development of the human capital in the </w:t>
      </w:r>
      <w:smartTag w:uri="urn:schemas-microsoft-com:office:smarttags" w:element="City">
        <w:smartTag w:uri="urn:schemas-microsoft-com:office:smarttags" w:element="place">
          <w:r w:rsidRPr="00C61635">
            <w:rPr>
              <w:sz w:val="28"/>
              <w:szCs w:val="28"/>
              <w:lang w:val="en-US"/>
            </w:rPr>
            <w:t>Far East</w:t>
          </w:r>
        </w:smartTag>
      </w:smartTag>
      <w:r w:rsidRPr="00C61635">
        <w:rPr>
          <w:sz w:val="28"/>
          <w:szCs w:val="28"/>
          <w:lang w:val="en-US"/>
        </w:rPr>
        <w:t>" (further – A</w:t>
      </w:r>
      <w:r>
        <w:rPr>
          <w:sz w:val="28"/>
          <w:szCs w:val="28"/>
          <w:lang w:val="en-US"/>
        </w:rPr>
        <w:t>DHC</w:t>
      </w:r>
      <w:r w:rsidRPr="00C61635">
        <w:rPr>
          <w:sz w:val="28"/>
          <w:szCs w:val="28"/>
          <w:lang w:val="en-US"/>
        </w:rPr>
        <w:t>) V. Timakov notes that in the Far</w:t>
      </w:r>
      <w:r>
        <w:rPr>
          <w:sz w:val="28"/>
          <w:szCs w:val="28"/>
          <w:lang w:val="en-US"/>
        </w:rPr>
        <w:t>-</w:t>
      </w:r>
      <w:r w:rsidRPr="00C61635">
        <w:rPr>
          <w:sz w:val="28"/>
          <w:szCs w:val="28"/>
          <w:lang w:val="en-US"/>
        </w:rPr>
        <w:t>East</w:t>
      </w:r>
      <w:r>
        <w:rPr>
          <w:sz w:val="28"/>
          <w:szCs w:val="28"/>
          <w:lang w:val="en-US"/>
        </w:rPr>
        <w:t>ern</w:t>
      </w:r>
      <w:r w:rsidRPr="00C61635">
        <w:rPr>
          <w:sz w:val="28"/>
          <w:szCs w:val="28"/>
          <w:lang w:val="en-US"/>
        </w:rPr>
        <w:t xml:space="preserve"> region there is a problem of "cultivation" of the </w:t>
      </w:r>
      <w:r>
        <w:rPr>
          <w:sz w:val="28"/>
          <w:szCs w:val="28"/>
          <w:lang w:val="en-US"/>
        </w:rPr>
        <w:t>own personnel</w:t>
      </w:r>
      <w:r w:rsidRPr="00C61635">
        <w:rPr>
          <w:sz w:val="28"/>
          <w:szCs w:val="28"/>
          <w:lang w:val="en-US"/>
        </w:rPr>
        <w:t xml:space="preserve">. It is connected with </w:t>
      </w:r>
      <w:r>
        <w:rPr>
          <w:sz w:val="28"/>
          <w:szCs w:val="28"/>
          <w:lang w:val="en-US"/>
        </w:rPr>
        <w:t xml:space="preserve">a </w:t>
      </w:r>
      <w:r w:rsidRPr="00C61635">
        <w:rPr>
          <w:sz w:val="28"/>
          <w:szCs w:val="28"/>
          <w:lang w:val="en-US"/>
        </w:rPr>
        <w:t xml:space="preserve">shortage of graduates of </w:t>
      </w:r>
      <w:r>
        <w:rPr>
          <w:sz w:val="28"/>
          <w:szCs w:val="28"/>
          <w:lang w:val="en-US"/>
        </w:rPr>
        <w:t>the secondary</w:t>
      </w:r>
      <w:r w:rsidRPr="00C61635">
        <w:rPr>
          <w:sz w:val="28"/>
          <w:szCs w:val="28"/>
          <w:lang w:val="en-US"/>
        </w:rPr>
        <w:t xml:space="preserve"> educational institutions and with the fact that "… the enterprises not always fight for </w:t>
      </w:r>
      <w:r>
        <w:rPr>
          <w:sz w:val="28"/>
          <w:szCs w:val="28"/>
          <w:lang w:val="en-US"/>
        </w:rPr>
        <w:t xml:space="preserve">the </w:t>
      </w:r>
      <w:r w:rsidRPr="00C61635">
        <w:rPr>
          <w:sz w:val="28"/>
          <w:szCs w:val="28"/>
          <w:lang w:val="en-US"/>
        </w:rPr>
        <w:t xml:space="preserve">graduates of technical schools, preferring to take the </w:t>
      </w:r>
      <w:r>
        <w:rPr>
          <w:sz w:val="28"/>
          <w:szCs w:val="28"/>
          <w:lang w:val="en-US"/>
        </w:rPr>
        <w:t xml:space="preserve">experienced </w:t>
      </w:r>
      <w:r w:rsidRPr="00C61635">
        <w:rPr>
          <w:sz w:val="28"/>
          <w:szCs w:val="28"/>
          <w:lang w:val="en-US"/>
        </w:rPr>
        <w:t xml:space="preserve">workers. For the employer creation of </w:t>
      </w:r>
      <w:r>
        <w:rPr>
          <w:sz w:val="28"/>
          <w:szCs w:val="28"/>
          <w:lang w:val="en-US"/>
        </w:rPr>
        <w:t xml:space="preserve">the </w:t>
      </w:r>
      <w:r w:rsidRPr="00C61635">
        <w:rPr>
          <w:sz w:val="28"/>
          <w:szCs w:val="28"/>
          <w:lang w:val="en-US"/>
        </w:rPr>
        <w:t xml:space="preserve">service of mentoring, </w:t>
      </w:r>
      <w:r>
        <w:rPr>
          <w:sz w:val="28"/>
          <w:szCs w:val="28"/>
          <w:lang w:val="en-US"/>
        </w:rPr>
        <w:t>taking</w:t>
      </w:r>
      <w:r w:rsidRPr="00C61635">
        <w:rPr>
          <w:sz w:val="28"/>
          <w:szCs w:val="28"/>
          <w:lang w:val="en-US"/>
        </w:rPr>
        <w:t xml:space="preserve"> </w:t>
      </w:r>
      <w:r>
        <w:rPr>
          <w:sz w:val="28"/>
          <w:szCs w:val="28"/>
          <w:lang w:val="en-US"/>
        </w:rPr>
        <w:t>the</w:t>
      </w:r>
      <w:r w:rsidRPr="00C61635">
        <w:rPr>
          <w:sz w:val="28"/>
          <w:szCs w:val="28"/>
          <w:lang w:val="en-US"/>
        </w:rPr>
        <w:t xml:space="preserve"> young specialists who need to be trained further, of course, an excess headache. But </w:t>
      </w:r>
      <w:r>
        <w:rPr>
          <w:sz w:val="28"/>
          <w:szCs w:val="28"/>
          <w:lang w:val="en-US"/>
        </w:rPr>
        <w:t xml:space="preserve">the </w:t>
      </w:r>
      <w:r w:rsidRPr="00C61635">
        <w:rPr>
          <w:sz w:val="28"/>
          <w:szCs w:val="28"/>
          <w:lang w:val="en-US"/>
        </w:rPr>
        <w:t>need for working professions, we are sure, will grow" [3].</w:t>
      </w:r>
    </w:p>
    <w:p w:rsidR="00E70971" w:rsidRPr="00C61635" w:rsidRDefault="00E70971" w:rsidP="008F5502">
      <w:pPr>
        <w:spacing w:after="0"/>
        <w:ind w:firstLine="709"/>
        <w:jc w:val="both"/>
        <w:rPr>
          <w:sz w:val="28"/>
          <w:szCs w:val="28"/>
          <w:lang w:val="en-US"/>
        </w:rPr>
      </w:pPr>
      <w:r w:rsidRPr="00C61635">
        <w:rPr>
          <w:sz w:val="28"/>
          <w:szCs w:val="28"/>
          <w:lang w:val="en-US"/>
        </w:rPr>
        <w:t xml:space="preserve">In 2015 for identification of </w:t>
      </w:r>
      <w:r>
        <w:rPr>
          <w:sz w:val="28"/>
          <w:szCs w:val="28"/>
          <w:lang w:val="en-US"/>
        </w:rPr>
        <w:t xml:space="preserve">the </w:t>
      </w:r>
      <w:r w:rsidRPr="00C61635">
        <w:rPr>
          <w:sz w:val="28"/>
          <w:szCs w:val="28"/>
          <w:lang w:val="en-US"/>
        </w:rPr>
        <w:t xml:space="preserve">dynamics of professional motivation and prospects of employment of </w:t>
      </w:r>
      <w:r>
        <w:rPr>
          <w:sz w:val="28"/>
          <w:szCs w:val="28"/>
          <w:lang w:val="en-US"/>
        </w:rPr>
        <w:t>the students</w:t>
      </w:r>
      <w:r w:rsidRPr="00C61635">
        <w:rPr>
          <w:sz w:val="28"/>
          <w:szCs w:val="28"/>
          <w:lang w:val="en-US"/>
        </w:rPr>
        <w:t xml:space="preserve"> of </w:t>
      </w:r>
      <w:r>
        <w:rPr>
          <w:sz w:val="28"/>
          <w:szCs w:val="28"/>
          <w:lang w:val="en-US"/>
        </w:rPr>
        <w:t xml:space="preserve">the </w:t>
      </w:r>
      <w:r w:rsidRPr="00C61635">
        <w:rPr>
          <w:sz w:val="28"/>
          <w:szCs w:val="28"/>
          <w:lang w:val="en-US"/>
        </w:rPr>
        <w:t xml:space="preserve">institutions of </w:t>
      </w:r>
      <w:r>
        <w:rPr>
          <w:sz w:val="28"/>
          <w:szCs w:val="28"/>
          <w:lang w:val="en-US"/>
        </w:rPr>
        <w:t xml:space="preserve">the </w:t>
      </w:r>
      <w:r w:rsidRPr="00C61635">
        <w:rPr>
          <w:sz w:val="28"/>
          <w:szCs w:val="28"/>
          <w:lang w:val="en-US"/>
        </w:rPr>
        <w:t xml:space="preserve">system of secondary professional education at the industrial enterprises of </w:t>
      </w:r>
      <w:r>
        <w:rPr>
          <w:sz w:val="28"/>
          <w:szCs w:val="28"/>
          <w:lang w:val="en-US"/>
        </w:rPr>
        <w:t xml:space="preserve">the </w:t>
      </w:r>
      <w:r w:rsidRPr="00C61635">
        <w:rPr>
          <w:sz w:val="28"/>
          <w:szCs w:val="28"/>
          <w:lang w:val="en-US"/>
        </w:rPr>
        <w:t xml:space="preserve">Khabarovsk </w:t>
      </w:r>
      <w:r>
        <w:rPr>
          <w:sz w:val="28"/>
          <w:szCs w:val="28"/>
          <w:lang w:val="en-US"/>
        </w:rPr>
        <w:t>territory</w:t>
      </w:r>
      <w:r w:rsidRPr="00C61635">
        <w:rPr>
          <w:sz w:val="28"/>
          <w:szCs w:val="28"/>
          <w:lang w:val="en-US"/>
        </w:rPr>
        <w:t xml:space="preserve"> repeated sociological research in which have taken part 400 people from 10 institutions of </w:t>
      </w:r>
      <w:r>
        <w:rPr>
          <w:sz w:val="28"/>
          <w:szCs w:val="28"/>
          <w:lang w:val="en-US"/>
        </w:rPr>
        <w:t xml:space="preserve">the </w:t>
      </w:r>
      <w:r w:rsidRPr="00C61635">
        <w:rPr>
          <w:sz w:val="28"/>
          <w:szCs w:val="28"/>
          <w:lang w:val="en-US"/>
        </w:rPr>
        <w:t xml:space="preserve">system of secondary professional education of </w:t>
      </w:r>
      <w:r>
        <w:rPr>
          <w:sz w:val="28"/>
          <w:szCs w:val="28"/>
          <w:lang w:val="en-US"/>
        </w:rPr>
        <w:t xml:space="preserve">the </w:t>
      </w:r>
      <w:r w:rsidRPr="00C61635">
        <w:rPr>
          <w:sz w:val="28"/>
          <w:szCs w:val="28"/>
          <w:lang w:val="en-US"/>
        </w:rPr>
        <w:t xml:space="preserve">Khabarovsk </w:t>
      </w:r>
      <w:r>
        <w:rPr>
          <w:sz w:val="28"/>
          <w:szCs w:val="28"/>
          <w:lang w:val="en-US"/>
        </w:rPr>
        <w:t>territory</w:t>
      </w:r>
      <w:r w:rsidRPr="00C61635">
        <w:rPr>
          <w:sz w:val="28"/>
          <w:szCs w:val="28"/>
          <w:lang w:val="en-US"/>
        </w:rPr>
        <w:t xml:space="preserve"> located in Khabarovsk and Komsomolsk-on-Amur has been conducted. </w:t>
      </w:r>
    </w:p>
    <w:p w:rsidR="00E70971" w:rsidRPr="00C61635" w:rsidRDefault="00E70971" w:rsidP="008F5502">
      <w:pPr>
        <w:spacing w:after="0"/>
        <w:ind w:firstLine="709"/>
        <w:jc w:val="both"/>
        <w:rPr>
          <w:sz w:val="28"/>
          <w:szCs w:val="28"/>
          <w:lang w:val="en-US"/>
        </w:rPr>
      </w:pPr>
      <w:r w:rsidRPr="00C61635">
        <w:rPr>
          <w:sz w:val="28"/>
          <w:szCs w:val="28"/>
          <w:lang w:val="en-US"/>
        </w:rPr>
        <w:t xml:space="preserve">Results of </w:t>
      </w:r>
      <w:r>
        <w:rPr>
          <w:sz w:val="28"/>
          <w:szCs w:val="28"/>
          <w:lang w:val="en-US"/>
        </w:rPr>
        <w:t xml:space="preserve">the </w:t>
      </w:r>
      <w:r w:rsidRPr="00C61635">
        <w:rPr>
          <w:sz w:val="28"/>
          <w:szCs w:val="28"/>
          <w:lang w:val="en-US"/>
        </w:rPr>
        <w:t xml:space="preserve">polls have shown that in </w:t>
      </w:r>
      <w:r>
        <w:rPr>
          <w:sz w:val="28"/>
          <w:szCs w:val="28"/>
          <w:lang w:val="en-US"/>
        </w:rPr>
        <w:t>the</w:t>
      </w:r>
      <w:r w:rsidRPr="00C61635">
        <w:rPr>
          <w:sz w:val="28"/>
          <w:szCs w:val="28"/>
          <w:lang w:val="en-US"/>
        </w:rPr>
        <w:t xml:space="preserve"> rating of the most actual directions of </w:t>
      </w:r>
      <w:r>
        <w:rPr>
          <w:sz w:val="28"/>
          <w:szCs w:val="28"/>
          <w:lang w:val="en-US"/>
        </w:rPr>
        <w:t>the</w:t>
      </w:r>
      <w:r w:rsidRPr="00C61635">
        <w:rPr>
          <w:sz w:val="28"/>
          <w:szCs w:val="28"/>
          <w:lang w:val="en-US"/>
        </w:rPr>
        <w:t xml:space="preserve"> state policy concerning the studying youth </w:t>
      </w:r>
      <w:r>
        <w:rPr>
          <w:sz w:val="28"/>
          <w:szCs w:val="28"/>
          <w:lang w:val="en-US"/>
        </w:rPr>
        <w:t xml:space="preserve">the </w:t>
      </w:r>
      <w:r w:rsidRPr="00C61635">
        <w:rPr>
          <w:sz w:val="28"/>
          <w:szCs w:val="28"/>
          <w:lang w:val="en-US"/>
        </w:rPr>
        <w:t xml:space="preserve">questions of employment disturb the interrogated young people, along with </w:t>
      </w:r>
      <w:r>
        <w:rPr>
          <w:sz w:val="28"/>
          <w:szCs w:val="28"/>
          <w:lang w:val="en-US"/>
        </w:rPr>
        <w:t xml:space="preserve">the </w:t>
      </w:r>
      <w:r w:rsidRPr="00C61635">
        <w:rPr>
          <w:sz w:val="28"/>
          <w:szCs w:val="28"/>
          <w:lang w:val="en-US"/>
        </w:rPr>
        <w:t xml:space="preserve">problems of solution of </w:t>
      </w:r>
      <w:r>
        <w:rPr>
          <w:sz w:val="28"/>
          <w:szCs w:val="28"/>
          <w:lang w:val="en-US"/>
        </w:rPr>
        <w:t xml:space="preserve">the </w:t>
      </w:r>
      <w:r w:rsidRPr="00C61635">
        <w:rPr>
          <w:sz w:val="28"/>
          <w:szCs w:val="28"/>
          <w:lang w:val="en-US"/>
        </w:rPr>
        <w:t xml:space="preserve">housing problems and organization of leisure. And, in comparison with 2012 the housing problem was removed on the third place, having conceded to </w:t>
      </w:r>
      <w:r>
        <w:rPr>
          <w:sz w:val="28"/>
          <w:szCs w:val="28"/>
          <w:lang w:val="en-US"/>
        </w:rPr>
        <w:t>the</w:t>
      </w:r>
      <w:r w:rsidRPr="00C61635">
        <w:rPr>
          <w:sz w:val="28"/>
          <w:szCs w:val="28"/>
          <w:lang w:val="en-US"/>
        </w:rPr>
        <w:t xml:space="preserve"> problem of availability of </w:t>
      </w:r>
      <w:r>
        <w:rPr>
          <w:sz w:val="28"/>
          <w:szCs w:val="28"/>
          <w:lang w:val="en-US"/>
        </w:rPr>
        <w:t xml:space="preserve">the </w:t>
      </w:r>
      <w:r w:rsidRPr="00C61635">
        <w:rPr>
          <w:sz w:val="28"/>
          <w:szCs w:val="28"/>
          <w:lang w:val="en-US"/>
        </w:rPr>
        <w:t xml:space="preserve">objects of leisure and rest that it is possible to explain with </w:t>
      </w:r>
      <w:r>
        <w:rPr>
          <w:sz w:val="28"/>
          <w:szCs w:val="28"/>
          <w:lang w:val="en-US"/>
        </w:rPr>
        <w:t xml:space="preserve">a </w:t>
      </w:r>
      <w:r w:rsidRPr="00C61635">
        <w:rPr>
          <w:sz w:val="28"/>
          <w:szCs w:val="28"/>
          <w:lang w:val="en-US"/>
        </w:rPr>
        <w:t xml:space="preserve">decrease in consumer opportunity on </w:t>
      </w:r>
      <w:r>
        <w:rPr>
          <w:sz w:val="28"/>
          <w:szCs w:val="28"/>
          <w:lang w:val="en-US"/>
        </w:rPr>
        <w:t>its</w:t>
      </w:r>
      <w:r w:rsidRPr="00C61635">
        <w:rPr>
          <w:sz w:val="28"/>
          <w:szCs w:val="28"/>
          <w:lang w:val="en-US"/>
        </w:rPr>
        <w:t xml:space="preserve"> acquisition.</w:t>
      </w:r>
    </w:p>
    <w:p w:rsidR="00E70971" w:rsidRPr="00C61635" w:rsidRDefault="00E70971" w:rsidP="008F5502">
      <w:pPr>
        <w:spacing w:after="0"/>
        <w:ind w:firstLine="709"/>
        <w:jc w:val="both"/>
        <w:rPr>
          <w:sz w:val="28"/>
          <w:szCs w:val="28"/>
          <w:lang w:val="en-US"/>
        </w:rPr>
      </w:pPr>
      <w:r w:rsidRPr="00C61635">
        <w:rPr>
          <w:sz w:val="28"/>
          <w:szCs w:val="28"/>
          <w:lang w:val="en-US"/>
        </w:rPr>
        <w:t xml:space="preserve">It should be noted that practically every second respondent (47,7%) noted </w:t>
      </w:r>
      <w:r>
        <w:rPr>
          <w:sz w:val="28"/>
          <w:szCs w:val="28"/>
          <w:lang w:val="en-US"/>
        </w:rPr>
        <w:t xml:space="preserve">the </w:t>
      </w:r>
      <w:r w:rsidRPr="00C61635">
        <w:rPr>
          <w:sz w:val="28"/>
          <w:szCs w:val="28"/>
          <w:lang w:val="en-US"/>
        </w:rPr>
        <w:t xml:space="preserve">relevance of improvement of </w:t>
      </w:r>
      <w:r>
        <w:rPr>
          <w:sz w:val="28"/>
          <w:szCs w:val="28"/>
          <w:lang w:val="en-US"/>
        </w:rPr>
        <w:t xml:space="preserve">the </w:t>
      </w:r>
      <w:r w:rsidRPr="00C61635">
        <w:rPr>
          <w:sz w:val="28"/>
          <w:szCs w:val="28"/>
          <w:lang w:val="en-US"/>
        </w:rPr>
        <w:t xml:space="preserve">quality of professional education as one of the directions of the state social policy. Development of patriotism, civic consciousness, high moral qualities especially doesn't concern </w:t>
      </w:r>
      <w:r>
        <w:rPr>
          <w:sz w:val="28"/>
          <w:szCs w:val="28"/>
          <w:lang w:val="en-US"/>
        </w:rPr>
        <w:t>the students</w:t>
      </w:r>
      <w:r w:rsidRPr="00C61635">
        <w:rPr>
          <w:sz w:val="28"/>
          <w:szCs w:val="28"/>
          <w:lang w:val="en-US"/>
        </w:rPr>
        <w:t xml:space="preserve"> of </w:t>
      </w:r>
      <w:r>
        <w:rPr>
          <w:sz w:val="28"/>
          <w:szCs w:val="28"/>
          <w:lang w:val="en-US"/>
        </w:rPr>
        <w:t>the institutions</w:t>
      </w:r>
      <w:r w:rsidRPr="00C61635">
        <w:rPr>
          <w:sz w:val="28"/>
          <w:szCs w:val="28"/>
          <w:lang w:val="en-US"/>
        </w:rPr>
        <w:t xml:space="preserve"> of secondary professional education. </w:t>
      </w:r>
      <w:r>
        <w:rPr>
          <w:sz w:val="28"/>
          <w:szCs w:val="28"/>
          <w:lang w:val="en-US"/>
        </w:rPr>
        <w:t>The r</w:t>
      </w:r>
      <w:r w:rsidRPr="00C61635">
        <w:rPr>
          <w:sz w:val="28"/>
          <w:szCs w:val="28"/>
          <w:lang w:val="en-US"/>
        </w:rPr>
        <w:t xml:space="preserve">esults of research are reflected in </w:t>
      </w:r>
      <w:r>
        <w:rPr>
          <w:sz w:val="28"/>
          <w:szCs w:val="28"/>
          <w:lang w:val="en-US"/>
        </w:rPr>
        <w:t xml:space="preserve">the </w:t>
      </w:r>
      <w:r w:rsidRPr="00C61635">
        <w:rPr>
          <w:sz w:val="28"/>
          <w:szCs w:val="28"/>
          <w:lang w:val="en-US"/>
        </w:rPr>
        <w:t>table 1.</w:t>
      </w:r>
    </w:p>
    <w:p w:rsidR="00E70971" w:rsidRPr="00A734F8" w:rsidRDefault="00E70971" w:rsidP="008F5502">
      <w:pPr>
        <w:spacing w:after="0"/>
        <w:ind w:firstLine="709"/>
        <w:jc w:val="right"/>
        <w:rPr>
          <w:i/>
          <w:sz w:val="28"/>
          <w:szCs w:val="28"/>
          <w:lang w:val="en-US"/>
        </w:rPr>
      </w:pPr>
      <w:r w:rsidRPr="00A734F8">
        <w:rPr>
          <w:i/>
          <w:sz w:val="28"/>
          <w:szCs w:val="28"/>
          <w:lang w:val="en-US"/>
        </w:rPr>
        <w:t>Table 1</w:t>
      </w:r>
    </w:p>
    <w:p w:rsidR="00E70971" w:rsidRPr="00C61635" w:rsidRDefault="00E70971" w:rsidP="008F5502">
      <w:pPr>
        <w:spacing w:after="0"/>
        <w:ind w:firstLine="709"/>
        <w:jc w:val="both"/>
        <w:rPr>
          <w:sz w:val="28"/>
          <w:szCs w:val="28"/>
          <w:lang w:val="en-US"/>
        </w:rPr>
      </w:pPr>
    </w:p>
    <w:p w:rsidR="00E70971" w:rsidRDefault="00E70971" w:rsidP="008F5502">
      <w:pPr>
        <w:spacing w:after="0"/>
        <w:ind w:firstLine="709"/>
        <w:jc w:val="center"/>
        <w:rPr>
          <w:b/>
          <w:sz w:val="28"/>
          <w:szCs w:val="28"/>
        </w:rPr>
      </w:pPr>
      <w:r w:rsidRPr="00A734F8">
        <w:rPr>
          <w:b/>
          <w:sz w:val="28"/>
          <w:szCs w:val="28"/>
          <w:lang w:val="en-US"/>
        </w:rPr>
        <w:t>Rating of the actual directions of the state youth policy in the estimates of studying youth (in % of number of respondents)</w:t>
      </w:r>
    </w:p>
    <w:p w:rsidR="008F5502" w:rsidRPr="008F5502" w:rsidRDefault="008F5502" w:rsidP="008F5502">
      <w:pPr>
        <w:spacing w:after="0"/>
        <w:ind w:firstLine="709"/>
        <w:jc w:val="center"/>
        <w:rPr>
          <w:b/>
          <w:sz w:val="28"/>
          <w:szCs w:val="28"/>
        </w:rPr>
      </w:pPr>
    </w:p>
    <w:tbl>
      <w:tblPr>
        <w:tblW w:w="9710"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82"/>
        <w:gridCol w:w="850"/>
        <w:gridCol w:w="851"/>
        <w:gridCol w:w="956"/>
        <w:gridCol w:w="887"/>
        <w:gridCol w:w="992"/>
        <w:gridCol w:w="992"/>
      </w:tblGrid>
      <w:tr w:rsidR="00E70971" w:rsidRPr="004051FF" w:rsidTr="008F5502">
        <w:tc>
          <w:tcPr>
            <w:tcW w:w="4182" w:type="dxa"/>
            <w:vMerge w:val="restart"/>
            <w:vAlign w:val="center"/>
          </w:tcPr>
          <w:p w:rsidR="00E70971" w:rsidRPr="003C5D0E" w:rsidRDefault="00E70971" w:rsidP="008F5502">
            <w:pPr>
              <w:widowControl w:val="0"/>
              <w:autoSpaceDE w:val="0"/>
              <w:autoSpaceDN w:val="0"/>
              <w:adjustRightInd w:val="0"/>
              <w:ind w:firstLine="0"/>
              <w:jc w:val="center"/>
              <w:rPr>
                <w:b/>
                <w:color w:val="000000"/>
                <w:sz w:val="20"/>
                <w:szCs w:val="20"/>
                <w:lang w:val="en-US"/>
              </w:rPr>
            </w:pPr>
            <w:r>
              <w:rPr>
                <w:b/>
                <w:color w:val="000000"/>
                <w:sz w:val="20"/>
                <w:szCs w:val="20"/>
                <w:lang w:val="en-US"/>
              </w:rPr>
              <w:t>Variants of answers</w:t>
            </w:r>
          </w:p>
        </w:tc>
        <w:tc>
          <w:tcPr>
            <w:tcW w:w="1701" w:type="dxa"/>
            <w:gridSpan w:val="2"/>
            <w:vAlign w:val="center"/>
          </w:tcPr>
          <w:p w:rsidR="00E70971" w:rsidRPr="003C5D0E" w:rsidRDefault="00E70971" w:rsidP="008F5502">
            <w:pPr>
              <w:widowControl w:val="0"/>
              <w:autoSpaceDE w:val="0"/>
              <w:autoSpaceDN w:val="0"/>
              <w:adjustRightInd w:val="0"/>
              <w:ind w:firstLine="0"/>
              <w:jc w:val="center"/>
              <w:rPr>
                <w:b/>
                <w:color w:val="000000"/>
                <w:sz w:val="20"/>
                <w:szCs w:val="20"/>
                <w:lang w:val="en-US"/>
              </w:rPr>
            </w:pPr>
            <w:smartTag w:uri="urn:schemas-microsoft-com:office:smarttags" w:element="City">
              <w:smartTag w:uri="urn:schemas-microsoft-com:office:smarttags" w:element="place">
                <w:r>
                  <w:rPr>
                    <w:b/>
                    <w:color w:val="000000"/>
                    <w:sz w:val="20"/>
                    <w:szCs w:val="20"/>
                    <w:lang w:val="en-US"/>
                  </w:rPr>
                  <w:t>Khabarovsk</w:t>
                </w:r>
              </w:smartTag>
            </w:smartTag>
          </w:p>
        </w:tc>
        <w:tc>
          <w:tcPr>
            <w:tcW w:w="1843" w:type="dxa"/>
            <w:gridSpan w:val="2"/>
            <w:vAlign w:val="center"/>
          </w:tcPr>
          <w:p w:rsidR="00E70971" w:rsidRPr="003C5D0E" w:rsidRDefault="00E70971" w:rsidP="008F5502">
            <w:pPr>
              <w:widowControl w:val="0"/>
              <w:autoSpaceDE w:val="0"/>
              <w:autoSpaceDN w:val="0"/>
              <w:adjustRightInd w:val="0"/>
              <w:ind w:left="-107" w:right="-109" w:firstLine="0"/>
              <w:jc w:val="center"/>
              <w:rPr>
                <w:b/>
                <w:color w:val="000000"/>
                <w:sz w:val="20"/>
                <w:szCs w:val="20"/>
                <w:lang w:val="en-US"/>
              </w:rPr>
            </w:pPr>
            <w:r>
              <w:rPr>
                <w:b/>
                <w:color w:val="000000"/>
                <w:sz w:val="20"/>
                <w:szCs w:val="20"/>
                <w:lang w:val="en-US"/>
              </w:rPr>
              <w:t>Komsomolsk-on-the Amur</w:t>
            </w:r>
          </w:p>
        </w:tc>
        <w:tc>
          <w:tcPr>
            <w:tcW w:w="1984" w:type="dxa"/>
            <w:gridSpan w:val="2"/>
            <w:vAlign w:val="center"/>
          </w:tcPr>
          <w:p w:rsidR="00E70971" w:rsidRPr="003C5D0E" w:rsidRDefault="00E70971" w:rsidP="008F5502">
            <w:pPr>
              <w:widowControl w:val="0"/>
              <w:autoSpaceDE w:val="0"/>
              <w:autoSpaceDN w:val="0"/>
              <w:adjustRightInd w:val="0"/>
              <w:ind w:firstLine="0"/>
              <w:jc w:val="center"/>
              <w:rPr>
                <w:b/>
                <w:color w:val="000000"/>
                <w:sz w:val="20"/>
                <w:szCs w:val="20"/>
                <w:lang w:val="en-US"/>
              </w:rPr>
            </w:pPr>
            <w:r>
              <w:rPr>
                <w:b/>
                <w:color w:val="000000"/>
                <w:sz w:val="20"/>
                <w:szCs w:val="20"/>
                <w:lang w:val="en-US"/>
              </w:rPr>
              <w:t>Total indicator</w:t>
            </w:r>
          </w:p>
        </w:tc>
      </w:tr>
      <w:tr w:rsidR="00E70971" w:rsidRPr="004051FF" w:rsidTr="008F5502">
        <w:tc>
          <w:tcPr>
            <w:tcW w:w="4182" w:type="dxa"/>
            <w:vMerge/>
          </w:tcPr>
          <w:p w:rsidR="00E70971" w:rsidRPr="003C5D0E" w:rsidRDefault="00E70971" w:rsidP="008F5502">
            <w:pPr>
              <w:ind w:left="426" w:firstLine="0"/>
              <w:jc w:val="both"/>
              <w:rPr>
                <w:color w:val="000000"/>
                <w:sz w:val="20"/>
                <w:szCs w:val="20"/>
              </w:rPr>
            </w:pPr>
          </w:p>
        </w:tc>
        <w:tc>
          <w:tcPr>
            <w:tcW w:w="850" w:type="dxa"/>
            <w:vAlign w:val="center"/>
          </w:tcPr>
          <w:p w:rsidR="00E70971" w:rsidRPr="003C5D0E" w:rsidRDefault="00E70971" w:rsidP="008F5502">
            <w:pPr>
              <w:widowControl w:val="0"/>
              <w:autoSpaceDE w:val="0"/>
              <w:autoSpaceDN w:val="0"/>
              <w:adjustRightInd w:val="0"/>
              <w:ind w:firstLine="0"/>
              <w:jc w:val="center"/>
              <w:rPr>
                <w:b/>
                <w:color w:val="000000"/>
                <w:sz w:val="20"/>
                <w:szCs w:val="20"/>
              </w:rPr>
            </w:pPr>
            <w:r w:rsidRPr="003C5D0E">
              <w:rPr>
                <w:b/>
                <w:color w:val="000000"/>
                <w:sz w:val="20"/>
                <w:szCs w:val="20"/>
              </w:rPr>
              <w:t>2012</w:t>
            </w:r>
          </w:p>
        </w:tc>
        <w:tc>
          <w:tcPr>
            <w:tcW w:w="851" w:type="dxa"/>
            <w:vAlign w:val="center"/>
          </w:tcPr>
          <w:p w:rsidR="00E70971" w:rsidRPr="003C5D0E" w:rsidRDefault="00E70971" w:rsidP="008F5502">
            <w:pPr>
              <w:widowControl w:val="0"/>
              <w:autoSpaceDE w:val="0"/>
              <w:autoSpaceDN w:val="0"/>
              <w:adjustRightInd w:val="0"/>
              <w:ind w:firstLine="0"/>
              <w:jc w:val="center"/>
              <w:rPr>
                <w:b/>
                <w:color w:val="000000"/>
                <w:sz w:val="20"/>
                <w:szCs w:val="20"/>
              </w:rPr>
            </w:pPr>
            <w:r w:rsidRPr="003C5D0E">
              <w:rPr>
                <w:b/>
                <w:color w:val="000000"/>
                <w:sz w:val="20"/>
                <w:szCs w:val="20"/>
              </w:rPr>
              <w:t>2015</w:t>
            </w:r>
          </w:p>
        </w:tc>
        <w:tc>
          <w:tcPr>
            <w:tcW w:w="956" w:type="dxa"/>
            <w:vAlign w:val="center"/>
          </w:tcPr>
          <w:p w:rsidR="00E70971" w:rsidRPr="003C5D0E" w:rsidRDefault="00E70971" w:rsidP="008F5502">
            <w:pPr>
              <w:widowControl w:val="0"/>
              <w:autoSpaceDE w:val="0"/>
              <w:autoSpaceDN w:val="0"/>
              <w:adjustRightInd w:val="0"/>
              <w:ind w:firstLine="0"/>
              <w:jc w:val="center"/>
              <w:rPr>
                <w:b/>
                <w:color w:val="000000"/>
                <w:sz w:val="20"/>
                <w:szCs w:val="20"/>
              </w:rPr>
            </w:pPr>
            <w:r w:rsidRPr="003C5D0E">
              <w:rPr>
                <w:b/>
                <w:color w:val="000000"/>
                <w:sz w:val="20"/>
                <w:szCs w:val="20"/>
              </w:rPr>
              <w:t>2012</w:t>
            </w:r>
          </w:p>
        </w:tc>
        <w:tc>
          <w:tcPr>
            <w:tcW w:w="887" w:type="dxa"/>
            <w:vAlign w:val="center"/>
          </w:tcPr>
          <w:p w:rsidR="00E70971" w:rsidRPr="003C5D0E" w:rsidRDefault="00E70971" w:rsidP="008F5502">
            <w:pPr>
              <w:widowControl w:val="0"/>
              <w:autoSpaceDE w:val="0"/>
              <w:autoSpaceDN w:val="0"/>
              <w:adjustRightInd w:val="0"/>
              <w:ind w:firstLine="0"/>
              <w:jc w:val="center"/>
              <w:rPr>
                <w:b/>
                <w:color w:val="000000"/>
                <w:sz w:val="20"/>
                <w:szCs w:val="20"/>
              </w:rPr>
            </w:pPr>
            <w:r w:rsidRPr="003C5D0E">
              <w:rPr>
                <w:b/>
                <w:color w:val="000000"/>
                <w:sz w:val="20"/>
                <w:szCs w:val="20"/>
              </w:rPr>
              <w:t>2015</w:t>
            </w:r>
          </w:p>
        </w:tc>
        <w:tc>
          <w:tcPr>
            <w:tcW w:w="992" w:type="dxa"/>
            <w:vAlign w:val="center"/>
          </w:tcPr>
          <w:p w:rsidR="00E70971" w:rsidRPr="003C5D0E" w:rsidRDefault="00E70971" w:rsidP="008F5502">
            <w:pPr>
              <w:widowControl w:val="0"/>
              <w:autoSpaceDE w:val="0"/>
              <w:autoSpaceDN w:val="0"/>
              <w:adjustRightInd w:val="0"/>
              <w:ind w:firstLine="0"/>
              <w:jc w:val="center"/>
              <w:rPr>
                <w:b/>
                <w:color w:val="000000"/>
                <w:sz w:val="20"/>
                <w:szCs w:val="20"/>
              </w:rPr>
            </w:pPr>
            <w:r w:rsidRPr="003C5D0E">
              <w:rPr>
                <w:b/>
                <w:color w:val="000000"/>
                <w:sz w:val="20"/>
                <w:szCs w:val="20"/>
              </w:rPr>
              <w:t>2012</w:t>
            </w:r>
          </w:p>
        </w:tc>
        <w:tc>
          <w:tcPr>
            <w:tcW w:w="992" w:type="dxa"/>
            <w:vAlign w:val="center"/>
          </w:tcPr>
          <w:p w:rsidR="00E70971" w:rsidRPr="003C5D0E" w:rsidRDefault="00E70971" w:rsidP="008F5502">
            <w:pPr>
              <w:widowControl w:val="0"/>
              <w:autoSpaceDE w:val="0"/>
              <w:autoSpaceDN w:val="0"/>
              <w:adjustRightInd w:val="0"/>
              <w:ind w:firstLine="0"/>
              <w:jc w:val="center"/>
              <w:rPr>
                <w:b/>
                <w:color w:val="000000"/>
                <w:sz w:val="20"/>
                <w:szCs w:val="20"/>
              </w:rPr>
            </w:pPr>
            <w:r w:rsidRPr="003C5D0E">
              <w:rPr>
                <w:b/>
                <w:color w:val="000000"/>
                <w:sz w:val="20"/>
                <w:szCs w:val="20"/>
              </w:rPr>
              <w:t>2015</w:t>
            </w:r>
          </w:p>
        </w:tc>
      </w:tr>
      <w:tr w:rsidR="00E70971" w:rsidRPr="004051FF" w:rsidTr="008F5502">
        <w:tc>
          <w:tcPr>
            <w:tcW w:w="4182" w:type="dxa"/>
          </w:tcPr>
          <w:p w:rsidR="00E70971" w:rsidRPr="00C61635" w:rsidRDefault="00E70971" w:rsidP="008F5502">
            <w:pPr>
              <w:ind w:firstLine="0"/>
              <w:jc w:val="both"/>
              <w:rPr>
                <w:color w:val="000000"/>
                <w:sz w:val="20"/>
                <w:szCs w:val="20"/>
                <w:lang w:val="en-US"/>
              </w:rPr>
            </w:pPr>
            <w:r w:rsidRPr="00C61635">
              <w:rPr>
                <w:color w:val="000000"/>
                <w:sz w:val="20"/>
                <w:szCs w:val="20"/>
                <w:lang w:val="en-US"/>
              </w:rPr>
              <w:t xml:space="preserve">Assistance </w:t>
            </w:r>
            <w:r>
              <w:rPr>
                <w:color w:val="000000"/>
                <w:sz w:val="20"/>
                <w:szCs w:val="20"/>
                <w:lang w:val="en-US"/>
              </w:rPr>
              <w:t>to</w:t>
            </w:r>
            <w:r w:rsidRPr="00C61635">
              <w:rPr>
                <w:color w:val="000000"/>
                <w:sz w:val="20"/>
                <w:szCs w:val="20"/>
                <w:lang w:val="en-US"/>
              </w:rPr>
              <w:t xml:space="preserve"> </w:t>
            </w:r>
            <w:r>
              <w:rPr>
                <w:color w:val="000000"/>
                <w:sz w:val="20"/>
                <w:szCs w:val="20"/>
                <w:lang w:val="en-US"/>
              </w:rPr>
              <w:t xml:space="preserve">the </w:t>
            </w:r>
            <w:r w:rsidRPr="00C61635">
              <w:rPr>
                <w:color w:val="000000"/>
                <w:sz w:val="20"/>
                <w:szCs w:val="20"/>
                <w:lang w:val="en-US"/>
              </w:rPr>
              <w:t xml:space="preserve">labor employment of </w:t>
            </w:r>
            <w:r>
              <w:rPr>
                <w:color w:val="000000"/>
                <w:sz w:val="20"/>
                <w:szCs w:val="20"/>
                <w:lang w:val="en-US"/>
              </w:rPr>
              <w:t xml:space="preserve">the </w:t>
            </w:r>
            <w:r w:rsidRPr="00C61635">
              <w:rPr>
                <w:color w:val="000000"/>
                <w:sz w:val="20"/>
                <w:szCs w:val="20"/>
                <w:lang w:val="en-US"/>
              </w:rPr>
              <w:t>graduates of technical schools (schools)</w:t>
            </w:r>
          </w:p>
        </w:tc>
        <w:tc>
          <w:tcPr>
            <w:tcW w:w="850" w:type="dxa"/>
            <w:vAlign w:val="center"/>
          </w:tcPr>
          <w:p w:rsidR="00E70971" w:rsidRPr="003C5D0E" w:rsidRDefault="00E70971" w:rsidP="008F5502">
            <w:pPr>
              <w:widowControl w:val="0"/>
              <w:autoSpaceDE w:val="0"/>
              <w:autoSpaceDN w:val="0"/>
              <w:adjustRightInd w:val="0"/>
              <w:ind w:firstLine="0"/>
              <w:jc w:val="center"/>
              <w:rPr>
                <w:color w:val="000000"/>
                <w:sz w:val="20"/>
                <w:szCs w:val="20"/>
              </w:rPr>
            </w:pPr>
            <w:r w:rsidRPr="003C5D0E">
              <w:rPr>
                <w:color w:val="000000"/>
                <w:sz w:val="20"/>
                <w:szCs w:val="20"/>
              </w:rPr>
              <w:t>54,8</w:t>
            </w:r>
          </w:p>
        </w:tc>
        <w:tc>
          <w:tcPr>
            <w:tcW w:w="851" w:type="dxa"/>
            <w:vAlign w:val="center"/>
          </w:tcPr>
          <w:p w:rsidR="00E70971" w:rsidRPr="003C5D0E" w:rsidRDefault="00E70971" w:rsidP="008F5502">
            <w:pPr>
              <w:ind w:firstLine="0"/>
              <w:jc w:val="center"/>
              <w:rPr>
                <w:color w:val="000000"/>
                <w:sz w:val="20"/>
                <w:szCs w:val="20"/>
              </w:rPr>
            </w:pPr>
            <w:r w:rsidRPr="003C5D0E">
              <w:rPr>
                <w:color w:val="000000"/>
                <w:sz w:val="20"/>
                <w:szCs w:val="20"/>
              </w:rPr>
              <w:t>54,3</w:t>
            </w:r>
          </w:p>
        </w:tc>
        <w:tc>
          <w:tcPr>
            <w:tcW w:w="956" w:type="dxa"/>
            <w:vAlign w:val="center"/>
          </w:tcPr>
          <w:p w:rsidR="00E70971" w:rsidRPr="003C5D0E" w:rsidRDefault="00E70971" w:rsidP="008F5502">
            <w:pPr>
              <w:widowControl w:val="0"/>
              <w:autoSpaceDE w:val="0"/>
              <w:autoSpaceDN w:val="0"/>
              <w:adjustRightInd w:val="0"/>
              <w:ind w:firstLine="0"/>
              <w:jc w:val="center"/>
              <w:rPr>
                <w:color w:val="000000"/>
                <w:sz w:val="20"/>
                <w:szCs w:val="20"/>
              </w:rPr>
            </w:pPr>
            <w:r w:rsidRPr="003C5D0E">
              <w:rPr>
                <w:color w:val="000000"/>
                <w:sz w:val="20"/>
                <w:szCs w:val="20"/>
              </w:rPr>
              <w:t>62,4</w:t>
            </w:r>
          </w:p>
        </w:tc>
        <w:tc>
          <w:tcPr>
            <w:tcW w:w="887" w:type="dxa"/>
            <w:vAlign w:val="center"/>
          </w:tcPr>
          <w:p w:rsidR="00E70971" w:rsidRPr="003C5D0E" w:rsidRDefault="00E70971" w:rsidP="008F5502">
            <w:pPr>
              <w:ind w:firstLine="0"/>
              <w:jc w:val="right"/>
              <w:rPr>
                <w:color w:val="000000"/>
                <w:sz w:val="20"/>
                <w:szCs w:val="20"/>
              </w:rPr>
            </w:pPr>
            <w:r w:rsidRPr="003C5D0E">
              <w:rPr>
                <w:color w:val="000000"/>
                <w:sz w:val="20"/>
                <w:szCs w:val="20"/>
              </w:rPr>
              <w:t>55,2</w:t>
            </w:r>
          </w:p>
        </w:tc>
        <w:tc>
          <w:tcPr>
            <w:tcW w:w="992" w:type="dxa"/>
            <w:vAlign w:val="center"/>
          </w:tcPr>
          <w:p w:rsidR="00E70971" w:rsidRPr="003C5D0E" w:rsidRDefault="00E70971" w:rsidP="008F5502">
            <w:pPr>
              <w:widowControl w:val="0"/>
              <w:autoSpaceDE w:val="0"/>
              <w:autoSpaceDN w:val="0"/>
              <w:adjustRightInd w:val="0"/>
              <w:ind w:firstLine="0"/>
              <w:jc w:val="center"/>
              <w:rPr>
                <w:color w:val="000000"/>
                <w:sz w:val="20"/>
                <w:szCs w:val="20"/>
              </w:rPr>
            </w:pPr>
            <w:r w:rsidRPr="003C5D0E">
              <w:rPr>
                <w:color w:val="000000"/>
                <w:sz w:val="20"/>
                <w:szCs w:val="20"/>
              </w:rPr>
              <w:t>59,3</w:t>
            </w:r>
          </w:p>
        </w:tc>
        <w:tc>
          <w:tcPr>
            <w:tcW w:w="992" w:type="dxa"/>
            <w:vAlign w:val="center"/>
          </w:tcPr>
          <w:p w:rsidR="00E70971" w:rsidRPr="003C5D0E" w:rsidRDefault="00E70971" w:rsidP="008F5502">
            <w:pPr>
              <w:widowControl w:val="0"/>
              <w:autoSpaceDE w:val="0"/>
              <w:autoSpaceDN w:val="0"/>
              <w:adjustRightInd w:val="0"/>
              <w:ind w:firstLine="0"/>
              <w:jc w:val="center"/>
              <w:rPr>
                <w:color w:val="000000"/>
                <w:sz w:val="20"/>
                <w:szCs w:val="20"/>
              </w:rPr>
            </w:pPr>
            <w:r w:rsidRPr="003C5D0E">
              <w:rPr>
                <w:color w:val="000000"/>
                <w:sz w:val="20"/>
                <w:szCs w:val="20"/>
              </w:rPr>
              <w:t>54,75</w:t>
            </w:r>
          </w:p>
        </w:tc>
      </w:tr>
      <w:tr w:rsidR="00E70971" w:rsidRPr="004051FF" w:rsidTr="008F5502">
        <w:tc>
          <w:tcPr>
            <w:tcW w:w="4182" w:type="dxa"/>
          </w:tcPr>
          <w:p w:rsidR="00E70971" w:rsidRPr="00C61635" w:rsidRDefault="00E70971" w:rsidP="008F5502">
            <w:pPr>
              <w:ind w:firstLine="0"/>
              <w:jc w:val="both"/>
              <w:rPr>
                <w:color w:val="000000"/>
                <w:sz w:val="20"/>
                <w:szCs w:val="20"/>
                <w:lang w:val="en-US"/>
              </w:rPr>
            </w:pPr>
            <w:r w:rsidRPr="00C61635">
              <w:rPr>
                <w:color w:val="000000"/>
                <w:sz w:val="20"/>
                <w:szCs w:val="20"/>
                <w:lang w:val="en-US"/>
              </w:rPr>
              <w:t xml:space="preserve">Availability of </w:t>
            </w:r>
            <w:r>
              <w:rPr>
                <w:color w:val="000000"/>
                <w:sz w:val="20"/>
                <w:szCs w:val="20"/>
                <w:lang w:val="en-US"/>
              </w:rPr>
              <w:t xml:space="preserve">the </w:t>
            </w:r>
            <w:r w:rsidRPr="00C61635">
              <w:rPr>
                <w:color w:val="000000"/>
                <w:sz w:val="20"/>
                <w:szCs w:val="20"/>
                <w:lang w:val="en-US"/>
              </w:rPr>
              <w:t>objects of leisure and rest to youth</w:t>
            </w:r>
          </w:p>
        </w:tc>
        <w:tc>
          <w:tcPr>
            <w:tcW w:w="850" w:type="dxa"/>
            <w:vAlign w:val="center"/>
          </w:tcPr>
          <w:p w:rsidR="00E70971" w:rsidRPr="003C5D0E" w:rsidRDefault="00E70971" w:rsidP="008F5502">
            <w:pPr>
              <w:widowControl w:val="0"/>
              <w:autoSpaceDE w:val="0"/>
              <w:autoSpaceDN w:val="0"/>
              <w:adjustRightInd w:val="0"/>
              <w:ind w:firstLine="0"/>
              <w:jc w:val="center"/>
              <w:rPr>
                <w:color w:val="000000"/>
                <w:sz w:val="20"/>
                <w:szCs w:val="20"/>
              </w:rPr>
            </w:pPr>
            <w:r w:rsidRPr="003C5D0E">
              <w:rPr>
                <w:color w:val="000000"/>
                <w:sz w:val="20"/>
                <w:szCs w:val="20"/>
              </w:rPr>
              <w:t>51,4</w:t>
            </w:r>
          </w:p>
        </w:tc>
        <w:tc>
          <w:tcPr>
            <w:tcW w:w="851" w:type="dxa"/>
            <w:vAlign w:val="center"/>
          </w:tcPr>
          <w:p w:rsidR="00E70971" w:rsidRPr="003C5D0E" w:rsidRDefault="00E70971" w:rsidP="008F5502">
            <w:pPr>
              <w:ind w:firstLine="0"/>
              <w:jc w:val="center"/>
              <w:rPr>
                <w:color w:val="000000"/>
                <w:sz w:val="20"/>
                <w:szCs w:val="20"/>
              </w:rPr>
            </w:pPr>
            <w:r w:rsidRPr="003C5D0E">
              <w:rPr>
                <w:color w:val="000000"/>
                <w:sz w:val="20"/>
                <w:szCs w:val="20"/>
              </w:rPr>
              <w:t>49,5</w:t>
            </w:r>
          </w:p>
        </w:tc>
        <w:tc>
          <w:tcPr>
            <w:tcW w:w="956" w:type="dxa"/>
            <w:vAlign w:val="center"/>
          </w:tcPr>
          <w:p w:rsidR="00E70971" w:rsidRPr="003C5D0E" w:rsidRDefault="00E70971" w:rsidP="008F5502">
            <w:pPr>
              <w:widowControl w:val="0"/>
              <w:autoSpaceDE w:val="0"/>
              <w:autoSpaceDN w:val="0"/>
              <w:adjustRightInd w:val="0"/>
              <w:ind w:firstLine="0"/>
              <w:jc w:val="center"/>
              <w:rPr>
                <w:color w:val="000000"/>
                <w:sz w:val="20"/>
                <w:szCs w:val="20"/>
              </w:rPr>
            </w:pPr>
            <w:r w:rsidRPr="003C5D0E">
              <w:rPr>
                <w:color w:val="000000"/>
                <w:sz w:val="20"/>
                <w:szCs w:val="20"/>
              </w:rPr>
              <w:t>45,7</w:t>
            </w:r>
          </w:p>
        </w:tc>
        <w:tc>
          <w:tcPr>
            <w:tcW w:w="887" w:type="dxa"/>
            <w:vAlign w:val="center"/>
          </w:tcPr>
          <w:p w:rsidR="00E70971" w:rsidRPr="003C5D0E" w:rsidRDefault="00E70971" w:rsidP="008F5502">
            <w:pPr>
              <w:ind w:firstLine="0"/>
              <w:jc w:val="right"/>
              <w:rPr>
                <w:color w:val="000000"/>
                <w:sz w:val="20"/>
                <w:szCs w:val="20"/>
              </w:rPr>
            </w:pPr>
            <w:r w:rsidRPr="003C5D0E">
              <w:rPr>
                <w:color w:val="000000"/>
                <w:sz w:val="20"/>
                <w:szCs w:val="20"/>
              </w:rPr>
              <w:t>50,0</w:t>
            </w:r>
          </w:p>
        </w:tc>
        <w:tc>
          <w:tcPr>
            <w:tcW w:w="992" w:type="dxa"/>
            <w:vAlign w:val="center"/>
          </w:tcPr>
          <w:p w:rsidR="00E70971" w:rsidRPr="003C5D0E" w:rsidRDefault="00E70971" w:rsidP="008F5502">
            <w:pPr>
              <w:widowControl w:val="0"/>
              <w:autoSpaceDE w:val="0"/>
              <w:autoSpaceDN w:val="0"/>
              <w:adjustRightInd w:val="0"/>
              <w:ind w:firstLine="0"/>
              <w:jc w:val="center"/>
              <w:rPr>
                <w:color w:val="000000"/>
                <w:sz w:val="20"/>
                <w:szCs w:val="20"/>
              </w:rPr>
            </w:pPr>
            <w:r w:rsidRPr="003C5D0E">
              <w:rPr>
                <w:color w:val="000000"/>
                <w:sz w:val="20"/>
                <w:szCs w:val="20"/>
              </w:rPr>
              <w:t>48,0</w:t>
            </w:r>
          </w:p>
        </w:tc>
        <w:tc>
          <w:tcPr>
            <w:tcW w:w="992" w:type="dxa"/>
            <w:vAlign w:val="center"/>
          </w:tcPr>
          <w:p w:rsidR="00E70971" w:rsidRPr="003C5D0E" w:rsidRDefault="00E70971" w:rsidP="008F5502">
            <w:pPr>
              <w:widowControl w:val="0"/>
              <w:autoSpaceDE w:val="0"/>
              <w:autoSpaceDN w:val="0"/>
              <w:adjustRightInd w:val="0"/>
              <w:ind w:firstLine="0"/>
              <w:jc w:val="center"/>
              <w:rPr>
                <w:color w:val="000000"/>
                <w:sz w:val="20"/>
                <w:szCs w:val="20"/>
              </w:rPr>
            </w:pPr>
            <w:r w:rsidRPr="003C5D0E">
              <w:rPr>
                <w:color w:val="000000"/>
                <w:sz w:val="20"/>
                <w:szCs w:val="20"/>
              </w:rPr>
              <w:t>50,0</w:t>
            </w:r>
          </w:p>
        </w:tc>
      </w:tr>
      <w:tr w:rsidR="00E70971" w:rsidRPr="004051FF" w:rsidTr="008F5502">
        <w:tc>
          <w:tcPr>
            <w:tcW w:w="4182" w:type="dxa"/>
          </w:tcPr>
          <w:p w:rsidR="00E70971" w:rsidRPr="00C61635" w:rsidRDefault="00E70971" w:rsidP="008F5502">
            <w:pPr>
              <w:ind w:firstLine="0"/>
              <w:jc w:val="both"/>
              <w:rPr>
                <w:color w:val="000000"/>
                <w:sz w:val="20"/>
                <w:szCs w:val="20"/>
                <w:lang w:val="en-US"/>
              </w:rPr>
            </w:pPr>
            <w:r w:rsidRPr="00C61635">
              <w:rPr>
                <w:color w:val="000000"/>
                <w:sz w:val="20"/>
                <w:szCs w:val="20"/>
                <w:lang w:val="en-US"/>
              </w:rPr>
              <w:t xml:space="preserve">Creation of conditions for the solution of housing problem by the young worker and </w:t>
            </w:r>
            <w:r>
              <w:rPr>
                <w:color w:val="000000"/>
                <w:sz w:val="20"/>
                <w:szCs w:val="20"/>
                <w:lang w:val="en-US"/>
              </w:rPr>
              <w:t>specialists</w:t>
            </w:r>
          </w:p>
        </w:tc>
        <w:tc>
          <w:tcPr>
            <w:tcW w:w="850" w:type="dxa"/>
            <w:vAlign w:val="center"/>
          </w:tcPr>
          <w:p w:rsidR="00E70971" w:rsidRPr="003C5D0E" w:rsidRDefault="00E70971" w:rsidP="008F5502">
            <w:pPr>
              <w:widowControl w:val="0"/>
              <w:autoSpaceDE w:val="0"/>
              <w:autoSpaceDN w:val="0"/>
              <w:adjustRightInd w:val="0"/>
              <w:ind w:firstLine="0"/>
              <w:jc w:val="center"/>
              <w:rPr>
                <w:color w:val="000000"/>
                <w:sz w:val="20"/>
                <w:szCs w:val="20"/>
              </w:rPr>
            </w:pPr>
            <w:r w:rsidRPr="003C5D0E">
              <w:rPr>
                <w:color w:val="000000"/>
                <w:sz w:val="20"/>
                <w:szCs w:val="20"/>
              </w:rPr>
              <w:t>56,8</w:t>
            </w:r>
          </w:p>
        </w:tc>
        <w:tc>
          <w:tcPr>
            <w:tcW w:w="851" w:type="dxa"/>
            <w:vAlign w:val="center"/>
          </w:tcPr>
          <w:p w:rsidR="00E70971" w:rsidRPr="003C5D0E" w:rsidRDefault="00E70971" w:rsidP="008F5502">
            <w:pPr>
              <w:ind w:firstLine="0"/>
              <w:jc w:val="center"/>
              <w:rPr>
                <w:color w:val="000000"/>
                <w:sz w:val="20"/>
                <w:szCs w:val="20"/>
              </w:rPr>
            </w:pPr>
            <w:r w:rsidRPr="003C5D0E">
              <w:rPr>
                <w:color w:val="000000"/>
                <w:sz w:val="20"/>
                <w:szCs w:val="20"/>
              </w:rPr>
              <w:t>53,3</w:t>
            </w:r>
          </w:p>
        </w:tc>
        <w:tc>
          <w:tcPr>
            <w:tcW w:w="956" w:type="dxa"/>
            <w:vAlign w:val="center"/>
          </w:tcPr>
          <w:p w:rsidR="00E70971" w:rsidRPr="003C5D0E" w:rsidRDefault="00E70971" w:rsidP="008F5502">
            <w:pPr>
              <w:widowControl w:val="0"/>
              <w:autoSpaceDE w:val="0"/>
              <w:autoSpaceDN w:val="0"/>
              <w:adjustRightInd w:val="0"/>
              <w:ind w:firstLine="0"/>
              <w:jc w:val="center"/>
              <w:rPr>
                <w:color w:val="000000"/>
                <w:sz w:val="20"/>
                <w:szCs w:val="20"/>
              </w:rPr>
            </w:pPr>
            <w:r w:rsidRPr="003C5D0E">
              <w:rPr>
                <w:color w:val="000000"/>
                <w:sz w:val="20"/>
                <w:szCs w:val="20"/>
              </w:rPr>
              <w:t>61,9</w:t>
            </w:r>
          </w:p>
        </w:tc>
        <w:tc>
          <w:tcPr>
            <w:tcW w:w="887" w:type="dxa"/>
            <w:vAlign w:val="center"/>
          </w:tcPr>
          <w:p w:rsidR="00E70971" w:rsidRPr="003C5D0E" w:rsidRDefault="00E70971" w:rsidP="008F5502">
            <w:pPr>
              <w:ind w:firstLine="0"/>
              <w:jc w:val="right"/>
              <w:rPr>
                <w:color w:val="000000"/>
                <w:sz w:val="20"/>
                <w:szCs w:val="20"/>
              </w:rPr>
            </w:pPr>
            <w:r w:rsidRPr="003C5D0E">
              <w:rPr>
                <w:color w:val="000000"/>
                <w:sz w:val="20"/>
                <w:szCs w:val="20"/>
              </w:rPr>
              <w:t>43,0</w:t>
            </w:r>
          </w:p>
        </w:tc>
        <w:tc>
          <w:tcPr>
            <w:tcW w:w="992" w:type="dxa"/>
            <w:vAlign w:val="center"/>
          </w:tcPr>
          <w:p w:rsidR="00E70971" w:rsidRPr="003C5D0E" w:rsidRDefault="00E70971" w:rsidP="008F5502">
            <w:pPr>
              <w:widowControl w:val="0"/>
              <w:autoSpaceDE w:val="0"/>
              <w:autoSpaceDN w:val="0"/>
              <w:adjustRightInd w:val="0"/>
              <w:ind w:firstLine="0"/>
              <w:jc w:val="center"/>
              <w:rPr>
                <w:color w:val="000000"/>
                <w:sz w:val="20"/>
                <w:szCs w:val="20"/>
              </w:rPr>
            </w:pPr>
            <w:r w:rsidRPr="003C5D0E">
              <w:rPr>
                <w:color w:val="000000"/>
                <w:sz w:val="20"/>
                <w:szCs w:val="20"/>
              </w:rPr>
              <w:t>59,8</w:t>
            </w:r>
          </w:p>
        </w:tc>
        <w:tc>
          <w:tcPr>
            <w:tcW w:w="992" w:type="dxa"/>
            <w:vAlign w:val="center"/>
          </w:tcPr>
          <w:p w:rsidR="00E70971" w:rsidRPr="003C5D0E" w:rsidRDefault="00E70971" w:rsidP="008F5502">
            <w:pPr>
              <w:widowControl w:val="0"/>
              <w:autoSpaceDE w:val="0"/>
              <w:autoSpaceDN w:val="0"/>
              <w:adjustRightInd w:val="0"/>
              <w:ind w:firstLine="0"/>
              <w:jc w:val="center"/>
              <w:rPr>
                <w:color w:val="000000"/>
                <w:sz w:val="20"/>
                <w:szCs w:val="20"/>
              </w:rPr>
            </w:pPr>
            <w:r w:rsidRPr="003C5D0E">
              <w:rPr>
                <w:color w:val="000000"/>
                <w:sz w:val="20"/>
                <w:szCs w:val="20"/>
              </w:rPr>
              <w:t>48,1</w:t>
            </w:r>
          </w:p>
        </w:tc>
      </w:tr>
      <w:tr w:rsidR="00E70971" w:rsidRPr="004051FF" w:rsidTr="008F5502">
        <w:tc>
          <w:tcPr>
            <w:tcW w:w="4182" w:type="dxa"/>
          </w:tcPr>
          <w:p w:rsidR="00E70971" w:rsidRPr="00C61635" w:rsidRDefault="00E70971" w:rsidP="008F5502">
            <w:pPr>
              <w:ind w:firstLine="0"/>
              <w:jc w:val="both"/>
              <w:rPr>
                <w:color w:val="000000"/>
                <w:sz w:val="20"/>
                <w:szCs w:val="20"/>
                <w:lang w:val="en-US"/>
              </w:rPr>
            </w:pPr>
            <w:r w:rsidRPr="00C61635">
              <w:rPr>
                <w:color w:val="000000"/>
                <w:sz w:val="20"/>
                <w:szCs w:val="20"/>
                <w:lang w:val="en-US"/>
              </w:rPr>
              <w:lastRenderedPageBreak/>
              <w:t xml:space="preserve">Improvement of </w:t>
            </w:r>
            <w:r>
              <w:rPr>
                <w:color w:val="000000"/>
                <w:sz w:val="20"/>
                <w:szCs w:val="20"/>
                <w:lang w:val="en-US"/>
              </w:rPr>
              <w:t xml:space="preserve">the </w:t>
            </w:r>
            <w:r w:rsidRPr="00C61635">
              <w:rPr>
                <w:color w:val="000000"/>
                <w:sz w:val="20"/>
                <w:szCs w:val="20"/>
                <w:lang w:val="en-US"/>
              </w:rPr>
              <w:t>quality of primary and secondary professional education</w:t>
            </w:r>
          </w:p>
        </w:tc>
        <w:tc>
          <w:tcPr>
            <w:tcW w:w="850" w:type="dxa"/>
            <w:vAlign w:val="center"/>
          </w:tcPr>
          <w:p w:rsidR="00E70971" w:rsidRPr="003C5D0E" w:rsidRDefault="00E70971" w:rsidP="008F5502">
            <w:pPr>
              <w:widowControl w:val="0"/>
              <w:autoSpaceDE w:val="0"/>
              <w:autoSpaceDN w:val="0"/>
              <w:adjustRightInd w:val="0"/>
              <w:ind w:firstLine="0"/>
              <w:jc w:val="center"/>
              <w:rPr>
                <w:color w:val="000000"/>
                <w:sz w:val="20"/>
                <w:szCs w:val="20"/>
              </w:rPr>
            </w:pPr>
            <w:r w:rsidRPr="003C5D0E">
              <w:rPr>
                <w:color w:val="000000"/>
                <w:sz w:val="20"/>
                <w:szCs w:val="20"/>
              </w:rPr>
              <w:t>41,8</w:t>
            </w:r>
          </w:p>
        </w:tc>
        <w:tc>
          <w:tcPr>
            <w:tcW w:w="851" w:type="dxa"/>
            <w:vAlign w:val="center"/>
          </w:tcPr>
          <w:p w:rsidR="00E70971" w:rsidRPr="003C5D0E" w:rsidRDefault="00E70971" w:rsidP="008F5502">
            <w:pPr>
              <w:ind w:firstLine="0"/>
              <w:jc w:val="center"/>
              <w:rPr>
                <w:color w:val="000000"/>
                <w:sz w:val="20"/>
                <w:szCs w:val="20"/>
              </w:rPr>
            </w:pPr>
            <w:r w:rsidRPr="003C5D0E">
              <w:rPr>
                <w:color w:val="000000"/>
                <w:sz w:val="20"/>
                <w:szCs w:val="20"/>
              </w:rPr>
              <w:t>42,9</w:t>
            </w:r>
          </w:p>
        </w:tc>
        <w:tc>
          <w:tcPr>
            <w:tcW w:w="956" w:type="dxa"/>
            <w:vAlign w:val="center"/>
          </w:tcPr>
          <w:p w:rsidR="00E70971" w:rsidRPr="003C5D0E" w:rsidRDefault="00E70971" w:rsidP="008F5502">
            <w:pPr>
              <w:widowControl w:val="0"/>
              <w:autoSpaceDE w:val="0"/>
              <w:autoSpaceDN w:val="0"/>
              <w:adjustRightInd w:val="0"/>
              <w:ind w:firstLine="0"/>
              <w:jc w:val="center"/>
              <w:rPr>
                <w:color w:val="000000"/>
                <w:sz w:val="20"/>
                <w:szCs w:val="20"/>
              </w:rPr>
            </w:pPr>
            <w:r w:rsidRPr="003C5D0E">
              <w:rPr>
                <w:color w:val="000000"/>
                <w:sz w:val="20"/>
                <w:szCs w:val="20"/>
              </w:rPr>
              <w:t>48,6</w:t>
            </w:r>
          </w:p>
        </w:tc>
        <w:tc>
          <w:tcPr>
            <w:tcW w:w="887" w:type="dxa"/>
            <w:vAlign w:val="center"/>
          </w:tcPr>
          <w:p w:rsidR="00E70971" w:rsidRPr="003C5D0E" w:rsidRDefault="00E70971" w:rsidP="008F5502">
            <w:pPr>
              <w:ind w:firstLine="0"/>
              <w:jc w:val="right"/>
              <w:rPr>
                <w:color w:val="000000"/>
                <w:sz w:val="20"/>
                <w:szCs w:val="20"/>
              </w:rPr>
            </w:pPr>
            <w:r w:rsidRPr="003C5D0E">
              <w:rPr>
                <w:color w:val="000000"/>
                <w:sz w:val="20"/>
                <w:szCs w:val="20"/>
              </w:rPr>
              <w:t>52,6</w:t>
            </w:r>
          </w:p>
        </w:tc>
        <w:tc>
          <w:tcPr>
            <w:tcW w:w="992" w:type="dxa"/>
            <w:vAlign w:val="center"/>
          </w:tcPr>
          <w:p w:rsidR="00E70971" w:rsidRPr="003C5D0E" w:rsidRDefault="00E70971" w:rsidP="008F5502">
            <w:pPr>
              <w:widowControl w:val="0"/>
              <w:autoSpaceDE w:val="0"/>
              <w:autoSpaceDN w:val="0"/>
              <w:adjustRightInd w:val="0"/>
              <w:ind w:firstLine="0"/>
              <w:jc w:val="center"/>
              <w:rPr>
                <w:color w:val="000000"/>
                <w:sz w:val="20"/>
                <w:szCs w:val="20"/>
              </w:rPr>
            </w:pPr>
            <w:r w:rsidRPr="003C5D0E">
              <w:rPr>
                <w:color w:val="000000"/>
                <w:sz w:val="20"/>
                <w:szCs w:val="20"/>
              </w:rPr>
              <w:t>45,8</w:t>
            </w:r>
          </w:p>
        </w:tc>
        <w:tc>
          <w:tcPr>
            <w:tcW w:w="992" w:type="dxa"/>
            <w:vAlign w:val="center"/>
          </w:tcPr>
          <w:p w:rsidR="00E70971" w:rsidRPr="003C5D0E" w:rsidRDefault="00E70971" w:rsidP="008F5502">
            <w:pPr>
              <w:widowControl w:val="0"/>
              <w:autoSpaceDE w:val="0"/>
              <w:autoSpaceDN w:val="0"/>
              <w:adjustRightInd w:val="0"/>
              <w:ind w:firstLine="0"/>
              <w:jc w:val="center"/>
              <w:rPr>
                <w:color w:val="000000"/>
                <w:sz w:val="20"/>
                <w:szCs w:val="20"/>
              </w:rPr>
            </w:pPr>
            <w:r w:rsidRPr="003C5D0E">
              <w:rPr>
                <w:color w:val="000000"/>
                <w:sz w:val="20"/>
                <w:szCs w:val="20"/>
              </w:rPr>
              <w:t>47.75</w:t>
            </w:r>
          </w:p>
        </w:tc>
      </w:tr>
      <w:tr w:rsidR="00E70971" w:rsidRPr="004051FF" w:rsidTr="008F5502">
        <w:tc>
          <w:tcPr>
            <w:tcW w:w="4182" w:type="dxa"/>
          </w:tcPr>
          <w:p w:rsidR="00E70971" w:rsidRPr="00C61635" w:rsidRDefault="00E70971" w:rsidP="008F5502">
            <w:pPr>
              <w:ind w:firstLine="0"/>
              <w:jc w:val="both"/>
              <w:rPr>
                <w:color w:val="000000"/>
                <w:sz w:val="20"/>
                <w:szCs w:val="20"/>
                <w:lang w:val="en-US"/>
              </w:rPr>
            </w:pPr>
            <w:r w:rsidRPr="00C61635">
              <w:rPr>
                <w:color w:val="000000"/>
                <w:sz w:val="20"/>
                <w:szCs w:val="20"/>
                <w:lang w:val="en-US"/>
              </w:rPr>
              <w:t xml:space="preserve">Ensuring availability </w:t>
            </w:r>
            <w:r>
              <w:rPr>
                <w:color w:val="000000"/>
                <w:sz w:val="20"/>
                <w:szCs w:val="20"/>
                <w:lang w:val="en-US"/>
              </w:rPr>
              <w:t>the</w:t>
            </w:r>
            <w:r w:rsidRPr="00C61635">
              <w:rPr>
                <w:color w:val="000000"/>
                <w:sz w:val="20"/>
                <w:szCs w:val="20"/>
                <w:lang w:val="en-US"/>
              </w:rPr>
              <w:t xml:space="preserve"> youth to information resources</w:t>
            </w:r>
          </w:p>
        </w:tc>
        <w:tc>
          <w:tcPr>
            <w:tcW w:w="850" w:type="dxa"/>
            <w:vAlign w:val="center"/>
          </w:tcPr>
          <w:p w:rsidR="00E70971" w:rsidRPr="003C5D0E" w:rsidRDefault="00E70971" w:rsidP="008F5502">
            <w:pPr>
              <w:widowControl w:val="0"/>
              <w:autoSpaceDE w:val="0"/>
              <w:autoSpaceDN w:val="0"/>
              <w:adjustRightInd w:val="0"/>
              <w:ind w:firstLine="0"/>
              <w:jc w:val="center"/>
              <w:rPr>
                <w:color w:val="000000"/>
                <w:sz w:val="20"/>
                <w:szCs w:val="20"/>
              </w:rPr>
            </w:pPr>
            <w:r w:rsidRPr="003C5D0E">
              <w:rPr>
                <w:color w:val="000000"/>
                <w:sz w:val="20"/>
                <w:szCs w:val="20"/>
              </w:rPr>
              <w:t>40,4</w:t>
            </w:r>
          </w:p>
        </w:tc>
        <w:tc>
          <w:tcPr>
            <w:tcW w:w="851" w:type="dxa"/>
            <w:vAlign w:val="center"/>
          </w:tcPr>
          <w:p w:rsidR="00E70971" w:rsidRPr="003C5D0E" w:rsidRDefault="00E70971" w:rsidP="008F5502">
            <w:pPr>
              <w:ind w:firstLine="0"/>
              <w:jc w:val="center"/>
              <w:rPr>
                <w:color w:val="000000"/>
                <w:sz w:val="20"/>
                <w:szCs w:val="20"/>
              </w:rPr>
            </w:pPr>
            <w:r w:rsidRPr="003C5D0E">
              <w:rPr>
                <w:color w:val="000000"/>
                <w:sz w:val="20"/>
                <w:szCs w:val="20"/>
              </w:rPr>
              <w:t>40,0</w:t>
            </w:r>
          </w:p>
        </w:tc>
        <w:tc>
          <w:tcPr>
            <w:tcW w:w="956" w:type="dxa"/>
            <w:vAlign w:val="center"/>
          </w:tcPr>
          <w:p w:rsidR="00E70971" w:rsidRPr="003C5D0E" w:rsidRDefault="00E70971" w:rsidP="008F5502">
            <w:pPr>
              <w:widowControl w:val="0"/>
              <w:autoSpaceDE w:val="0"/>
              <w:autoSpaceDN w:val="0"/>
              <w:adjustRightInd w:val="0"/>
              <w:ind w:firstLine="0"/>
              <w:jc w:val="center"/>
              <w:rPr>
                <w:color w:val="000000"/>
                <w:sz w:val="20"/>
                <w:szCs w:val="20"/>
              </w:rPr>
            </w:pPr>
            <w:r w:rsidRPr="003C5D0E">
              <w:rPr>
                <w:color w:val="000000"/>
                <w:sz w:val="20"/>
                <w:szCs w:val="20"/>
              </w:rPr>
              <w:t>47,1</w:t>
            </w:r>
          </w:p>
        </w:tc>
        <w:tc>
          <w:tcPr>
            <w:tcW w:w="887" w:type="dxa"/>
            <w:vAlign w:val="center"/>
          </w:tcPr>
          <w:p w:rsidR="00E70971" w:rsidRPr="003C5D0E" w:rsidRDefault="00E70971" w:rsidP="008F5502">
            <w:pPr>
              <w:ind w:firstLine="0"/>
              <w:jc w:val="right"/>
              <w:rPr>
                <w:color w:val="000000"/>
                <w:sz w:val="20"/>
                <w:szCs w:val="20"/>
              </w:rPr>
            </w:pPr>
            <w:r w:rsidRPr="003C5D0E">
              <w:rPr>
                <w:color w:val="000000"/>
                <w:sz w:val="20"/>
                <w:szCs w:val="20"/>
              </w:rPr>
              <w:t>45,7</w:t>
            </w:r>
          </w:p>
        </w:tc>
        <w:tc>
          <w:tcPr>
            <w:tcW w:w="992" w:type="dxa"/>
            <w:vAlign w:val="center"/>
          </w:tcPr>
          <w:p w:rsidR="00E70971" w:rsidRPr="003C5D0E" w:rsidRDefault="00E70971" w:rsidP="008F5502">
            <w:pPr>
              <w:widowControl w:val="0"/>
              <w:autoSpaceDE w:val="0"/>
              <w:autoSpaceDN w:val="0"/>
              <w:adjustRightInd w:val="0"/>
              <w:ind w:firstLine="0"/>
              <w:jc w:val="center"/>
              <w:rPr>
                <w:color w:val="000000"/>
                <w:sz w:val="20"/>
                <w:szCs w:val="20"/>
              </w:rPr>
            </w:pPr>
            <w:r w:rsidRPr="003C5D0E">
              <w:rPr>
                <w:color w:val="000000"/>
                <w:sz w:val="20"/>
                <w:szCs w:val="20"/>
              </w:rPr>
              <w:t>44,4</w:t>
            </w:r>
          </w:p>
        </w:tc>
        <w:tc>
          <w:tcPr>
            <w:tcW w:w="992" w:type="dxa"/>
            <w:vAlign w:val="center"/>
          </w:tcPr>
          <w:p w:rsidR="00E70971" w:rsidRPr="003C5D0E" w:rsidRDefault="00E70971" w:rsidP="008F5502">
            <w:pPr>
              <w:widowControl w:val="0"/>
              <w:autoSpaceDE w:val="0"/>
              <w:autoSpaceDN w:val="0"/>
              <w:adjustRightInd w:val="0"/>
              <w:ind w:firstLine="0"/>
              <w:jc w:val="center"/>
              <w:rPr>
                <w:color w:val="000000"/>
                <w:sz w:val="20"/>
                <w:szCs w:val="20"/>
              </w:rPr>
            </w:pPr>
            <w:r w:rsidRPr="003C5D0E">
              <w:rPr>
                <w:color w:val="000000"/>
                <w:sz w:val="20"/>
                <w:szCs w:val="20"/>
              </w:rPr>
              <w:t>42,85</w:t>
            </w:r>
          </w:p>
        </w:tc>
      </w:tr>
      <w:tr w:rsidR="00E70971" w:rsidRPr="004051FF" w:rsidTr="008F5502">
        <w:tc>
          <w:tcPr>
            <w:tcW w:w="4182" w:type="dxa"/>
          </w:tcPr>
          <w:p w:rsidR="00E70971" w:rsidRPr="00C61635" w:rsidRDefault="00E70971" w:rsidP="008F5502">
            <w:pPr>
              <w:ind w:firstLine="0"/>
              <w:jc w:val="both"/>
              <w:rPr>
                <w:color w:val="000000"/>
                <w:sz w:val="20"/>
                <w:szCs w:val="20"/>
                <w:lang w:val="en-US"/>
              </w:rPr>
            </w:pPr>
            <w:r w:rsidRPr="00C61635">
              <w:rPr>
                <w:color w:val="000000"/>
                <w:sz w:val="20"/>
                <w:szCs w:val="20"/>
                <w:lang w:val="en-US"/>
              </w:rPr>
              <w:t>Development of civic consciousness, patriotism, high moral qualities</w:t>
            </w:r>
          </w:p>
        </w:tc>
        <w:tc>
          <w:tcPr>
            <w:tcW w:w="850" w:type="dxa"/>
            <w:vAlign w:val="center"/>
          </w:tcPr>
          <w:p w:rsidR="00E70971" w:rsidRPr="003C5D0E" w:rsidRDefault="00E70971" w:rsidP="008F5502">
            <w:pPr>
              <w:widowControl w:val="0"/>
              <w:autoSpaceDE w:val="0"/>
              <w:autoSpaceDN w:val="0"/>
              <w:adjustRightInd w:val="0"/>
              <w:ind w:firstLine="0"/>
              <w:jc w:val="center"/>
              <w:rPr>
                <w:color w:val="000000"/>
                <w:sz w:val="20"/>
                <w:szCs w:val="20"/>
              </w:rPr>
            </w:pPr>
            <w:r w:rsidRPr="003C5D0E">
              <w:rPr>
                <w:color w:val="000000"/>
                <w:sz w:val="20"/>
                <w:szCs w:val="20"/>
              </w:rPr>
              <w:t>11,6</w:t>
            </w:r>
          </w:p>
        </w:tc>
        <w:tc>
          <w:tcPr>
            <w:tcW w:w="851" w:type="dxa"/>
            <w:vAlign w:val="center"/>
          </w:tcPr>
          <w:p w:rsidR="00E70971" w:rsidRPr="003C5D0E" w:rsidRDefault="00E70971" w:rsidP="008F5502">
            <w:pPr>
              <w:ind w:firstLine="0"/>
              <w:jc w:val="center"/>
              <w:rPr>
                <w:color w:val="000000"/>
                <w:sz w:val="20"/>
                <w:szCs w:val="20"/>
              </w:rPr>
            </w:pPr>
            <w:r w:rsidRPr="003C5D0E">
              <w:rPr>
                <w:color w:val="000000"/>
                <w:sz w:val="20"/>
                <w:szCs w:val="20"/>
              </w:rPr>
              <w:t>18,6</w:t>
            </w:r>
          </w:p>
        </w:tc>
        <w:tc>
          <w:tcPr>
            <w:tcW w:w="956" w:type="dxa"/>
            <w:vAlign w:val="center"/>
          </w:tcPr>
          <w:p w:rsidR="00E70971" w:rsidRPr="003C5D0E" w:rsidRDefault="00E70971" w:rsidP="008F5502">
            <w:pPr>
              <w:widowControl w:val="0"/>
              <w:autoSpaceDE w:val="0"/>
              <w:autoSpaceDN w:val="0"/>
              <w:adjustRightInd w:val="0"/>
              <w:ind w:firstLine="0"/>
              <w:jc w:val="center"/>
              <w:rPr>
                <w:color w:val="000000"/>
                <w:sz w:val="20"/>
                <w:szCs w:val="20"/>
              </w:rPr>
            </w:pPr>
            <w:r w:rsidRPr="003C5D0E">
              <w:rPr>
                <w:color w:val="000000"/>
                <w:sz w:val="20"/>
                <w:szCs w:val="20"/>
              </w:rPr>
              <w:t>22,9</w:t>
            </w:r>
          </w:p>
        </w:tc>
        <w:tc>
          <w:tcPr>
            <w:tcW w:w="887" w:type="dxa"/>
            <w:vAlign w:val="center"/>
          </w:tcPr>
          <w:p w:rsidR="00E70971" w:rsidRPr="003C5D0E" w:rsidRDefault="00E70971" w:rsidP="008F5502">
            <w:pPr>
              <w:ind w:firstLine="0"/>
              <w:jc w:val="right"/>
              <w:rPr>
                <w:color w:val="000000"/>
                <w:sz w:val="20"/>
                <w:szCs w:val="20"/>
              </w:rPr>
            </w:pPr>
            <w:r w:rsidRPr="003C5D0E">
              <w:rPr>
                <w:color w:val="000000"/>
                <w:sz w:val="20"/>
                <w:szCs w:val="20"/>
              </w:rPr>
              <w:t>21,0</w:t>
            </w:r>
          </w:p>
        </w:tc>
        <w:tc>
          <w:tcPr>
            <w:tcW w:w="992" w:type="dxa"/>
            <w:vAlign w:val="center"/>
          </w:tcPr>
          <w:p w:rsidR="00E70971" w:rsidRPr="003C5D0E" w:rsidRDefault="00E70971" w:rsidP="008F5502">
            <w:pPr>
              <w:widowControl w:val="0"/>
              <w:autoSpaceDE w:val="0"/>
              <w:autoSpaceDN w:val="0"/>
              <w:adjustRightInd w:val="0"/>
              <w:ind w:firstLine="0"/>
              <w:jc w:val="center"/>
              <w:rPr>
                <w:color w:val="000000"/>
                <w:sz w:val="20"/>
                <w:szCs w:val="20"/>
              </w:rPr>
            </w:pPr>
            <w:r w:rsidRPr="003C5D0E">
              <w:rPr>
                <w:color w:val="000000"/>
                <w:sz w:val="20"/>
                <w:szCs w:val="20"/>
              </w:rPr>
              <w:t>18,3</w:t>
            </w:r>
          </w:p>
        </w:tc>
        <w:tc>
          <w:tcPr>
            <w:tcW w:w="992" w:type="dxa"/>
            <w:vAlign w:val="center"/>
          </w:tcPr>
          <w:p w:rsidR="00E70971" w:rsidRPr="003C5D0E" w:rsidRDefault="00E70971" w:rsidP="008F5502">
            <w:pPr>
              <w:widowControl w:val="0"/>
              <w:autoSpaceDE w:val="0"/>
              <w:autoSpaceDN w:val="0"/>
              <w:adjustRightInd w:val="0"/>
              <w:ind w:firstLine="0"/>
              <w:jc w:val="center"/>
              <w:rPr>
                <w:color w:val="000000"/>
                <w:sz w:val="20"/>
                <w:szCs w:val="20"/>
              </w:rPr>
            </w:pPr>
            <w:r w:rsidRPr="003C5D0E">
              <w:rPr>
                <w:color w:val="000000"/>
                <w:sz w:val="20"/>
                <w:szCs w:val="20"/>
              </w:rPr>
              <w:t>19,8</w:t>
            </w:r>
          </w:p>
        </w:tc>
      </w:tr>
    </w:tbl>
    <w:p w:rsidR="00E70971" w:rsidRPr="0036090F" w:rsidRDefault="00E70971" w:rsidP="003C5D0E">
      <w:pPr>
        <w:ind w:firstLine="709"/>
        <w:jc w:val="both"/>
        <w:rPr>
          <w:i/>
          <w:sz w:val="28"/>
          <w:szCs w:val="28"/>
          <w:lang w:val="en-US"/>
        </w:rPr>
      </w:pPr>
      <w:r w:rsidRPr="0036090F">
        <w:rPr>
          <w:i/>
          <w:sz w:val="28"/>
          <w:szCs w:val="28"/>
          <w:lang w:val="en-US"/>
        </w:rPr>
        <w:t>Source: it is calculated and made by the author.</w:t>
      </w:r>
    </w:p>
    <w:p w:rsidR="00E70971" w:rsidRDefault="00E70971" w:rsidP="008F5502">
      <w:pPr>
        <w:spacing w:after="0"/>
        <w:ind w:firstLine="709"/>
        <w:jc w:val="both"/>
        <w:rPr>
          <w:sz w:val="28"/>
          <w:szCs w:val="28"/>
          <w:lang w:val="en-US"/>
        </w:rPr>
      </w:pPr>
      <w:r w:rsidRPr="003C5D0E">
        <w:rPr>
          <w:sz w:val="28"/>
          <w:szCs w:val="28"/>
          <w:lang w:val="en-US"/>
        </w:rPr>
        <w:t xml:space="preserve">Keen interest in obtaining information connected with </w:t>
      </w:r>
      <w:r>
        <w:rPr>
          <w:sz w:val="28"/>
          <w:szCs w:val="28"/>
          <w:lang w:val="en-US"/>
        </w:rPr>
        <w:t xml:space="preserve">the </w:t>
      </w:r>
      <w:r w:rsidRPr="003C5D0E">
        <w:rPr>
          <w:sz w:val="28"/>
          <w:szCs w:val="28"/>
          <w:lang w:val="en-US"/>
        </w:rPr>
        <w:t xml:space="preserve">opportunities and prospects of receiving work both on the basis of constant and temporary employment and for receiving an additional profession for strengthening of a position in labor market (fig. 1) testifies to </w:t>
      </w:r>
      <w:r>
        <w:rPr>
          <w:sz w:val="28"/>
          <w:szCs w:val="28"/>
          <w:lang w:val="en-US"/>
        </w:rPr>
        <w:t xml:space="preserve">an </w:t>
      </w:r>
      <w:r w:rsidRPr="003C5D0E">
        <w:rPr>
          <w:sz w:val="28"/>
          <w:szCs w:val="28"/>
          <w:lang w:val="en-US"/>
        </w:rPr>
        <w:t xml:space="preserve">importance of </w:t>
      </w:r>
      <w:r>
        <w:rPr>
          <w:sz w:val="28"/>
          <w:szCs w:val="28"/>
          <w:lang w:val="en-US"/>
        </w:rPr>
        <w:t xml:space="preserve">the </w:t>
      </w:r>
      <w:r w:rsidRPr="003C5D0E">
        <w:rPr>
          <w:sz w:val="28"/>
          <w:szCs w:val="28"/>
          <w:lang w:val="en-US"/>
        </w:rPr>
        <w:t>problems of employment.</w:t>
      </w:r>
    </w:p>
    <w:p w:rsidR="00E70971" w:rsidRDefault="00BE183F" w:rsidP="003C5D0E">
      <w:pPr>
        <w:ind w:firstLine="709"/>
        <w:jc w:val="both"/>
        <w:rPr>
          <w:sz w:val="28"/>
          <w:szCs w:val="28"/>
          <w:lang w:val="en-US"/>
        </w:rPr>
      </w:pPr>
      <w:r>
        <w:rPr>
          <w:noProof/>
          <w:color w:val="000000"/>
          <w:lang w:eastAsia="ru-RU"/>
        </w:rPr>
        <w:drawing>
          <wp:inline distT="0" distB="0" distL="0" distR="0">
            <wp:extent cx="5372100" cy="3987800"/>
            <wp:effectExtent l="0" t="0" r="0" b="0"/>
            <wp:docPr id="1" name="Объект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8F5502" w:rsidRDefault="00E70971" w:rsidP="008F5502">
      <w:pPr>
        <w:spacing w:after="0"/>
        <w:ind w:firstLine="0"/>
        <w:jc w:val="center"/>
        <w:rPr>
          <w:i/>
          <w:sz w:val="28"/>
          <w:szCs w:val="28"/>
        </w:rPr>
      </w:pPr>
      <w:r w:rsidRPr="0036090F">
        <w:rPr>
          <w:i/>
          <w:sz w:val="28"/>
          <w:szCs w:val="28"/>
          <w:lang w:val="en-US"/>
        </w:rPr>
        <w:t>Fig.</w:t>
      </w:r>
      <w:r w:rsidR="008F5502">
        <w:rPr>
          <w:i/>
          <w:sz w:val="28"/>
          <w:szCs w:val="28"/>
        </w:rPr>
        <w:t xml:space="preserve"> </w:t>
      </w:r>
      <w:r w:rsidRPr="0036090F">
        <w:rPr>
          <w:i/>
          <w:sz w:val="28"/>
          <w:szCs w:val="28"/>
          <w:lang w:val="en-US"/>
        </w:rPr>
        <w:t xml:space="preserve">1. The share of youth having a pressing need in the following information </w:t>
      </w:r>
    </w:p>
    <w:p w:rsidR="00E70971" w:rsidRDefault="00E70971" w:rsidP="008F5502">
      <w:pPr>
        <w:spacing w:after="0"/>
        <w:ind w:firstLine="0"/>
        <w:jc w:val="center"/>
        <w:rPr>
          <w:i/>
          <w:sz w:val="28"/>
          <w:szCs w:val="28"/>
        </w:rPr>
      </w:pPr>
      <w:r w:rsidRPr="0036090F">
        <w:rPr>
          <w:i/>
          <w:sz w:val="28"/>
          <w:szCs w:val="28"/>
          <w:lang w:val="en-US"/>
        </w:rPr>
        <w:t>(in % of number of respondents)</w:t>
      </w:r>
    </w:p>
    <w:p w:rsidR="008F5502" w:rsidRPr="008F5502" w:rsidRDefault="008F5502" w:rsidP="008F5502">
      <w:pPr>
        <w:spacing w:after="0"/>
        <w:ind w:firstLine="0"/>
        <w:jc w:val="center"/>
        <w:rPr>
          <w:i/>
          <w:sz w:val="28"/>
          <w:szCs w:val="28"/>
        </w:rPr>
      </w:pPr>
    </w:p>
    <w:p w:rsidR="00E70971" w:rsidRPr="008F5502" w:rsidRDefault="00E70971" w:rsidP="008F5502">
      <w:pPr>
        <w:spacing w:after="0"/>
        <w:ind w:firstLine="709"/>
        <w:jc w:val="both"/>
        <w:rPr>
          <w:sz w:val="28"/>
          <w:szCs w:val="28"/>
          <w:lang w:val="en-US"/>
        </w:rPr>
      </w:pPr>
      <w:r w:rsidRPr="003C5D0E">
        <w:rPr>
          <w:sz w:val="28"/>
          <w:szCs w:val="28"/>
          <w:lang w:val="en-US"/>
        </w:rPr>
        <w:t xml:space="preserve">The vast majority of respondents (60,75%) have noted that the worthy salary and a social package for young workers and </w:t>
      </w:r>
      <w:r>
        <w:rPr>
          <w:sz w:val="28"/>
          <w:szCs w:val="28"/>
          <w:lang w:val="en-US"/>
        </w:rPr>
        <w:t>specialists</w:t>
      </w:r>
      <w:r w:rsidRPr="003C5D0E">
        <w:rPr>
          <w:sz w:val="28"/>
          <w:szCs w:val="28"/>
          <w:lang w:val="en-US"/>
        </w:rPr>
        <w:t xml:space="preserve"> have the special importance in </w:t>
      </w:r>
      <w:r>
        <w:rPr>
          <w:sz w:val="28"/>
          <w:szCs w:val="28"/>
          <w:lang w:val="en-US"/>
        </w:rPr>
        <w:t xml:space="preserve">the </w:t>
      </w:r>
      <w:r w:rsidRPr="003C5D0E">
        <w:rPr>
          <w:sz w:val="28"/>
          <w:szCs w:val="28"/>
          <w:lang w:val="en-US"/>
        </w:rPr>
        <w:t xml:space="preserve">questions of employment of youth. This opinion was confirmed also by the answer to </w:t>
      </w:r>
      <w:r>
        <w:rPr>
          <w:sz w:val="28"/>
          <w:szCs w:val="28"/>
          <w:lang w:val="en-US"/>
        </w:rPr>
        <w:t>the</w:t>
      </w:r>
      <w:r w:rsidRPr="003C5D0E">
        <w:rPr>
          <w:sz w:val="28"/>
          <w:szCs w:val="28"/>
          <w:lang w:val="en-US"/>
        </w:rPr>
        <w:t xml:space="preserve"> question of decisive motive of choice of the place of work after the </w:t>
      </w:r>
      <w:r>
        <w:rPr>
          <w:sz w:val="28"/>
          <w:szCs w:val="28"/>
          <w:lang w:val="en-US"/>
        </w:rPr>
        <w:t>graduating</w:t>
      </w:r>
      <w:r w:rsidRPr="003C5D0E">
        <w:rPr>
          <w:sz w:val="28"/>
          <w:szCs w:val="28"/>
          <w:lang w:val="en-US"/>
        </w:rPr>
        <w:t xml:space="preserve"> </w:t>
      </w:r>
      <w:r>
        <w:rPr>
          <w:sz w:val="28"/>
          <w:szCs w:val="28"/>
          <w:lang w:val="en-US"/>
        </w:rPr>
        <w:t xml:space="preserve">from the </w:t>
      </w:r>
      <w:r w:rsidRPr="003C5D0E">
        <w:rPr>
          <w:sz w:val="28"/>
          <w:szCs w:val="28"/>
          <w:lang w:val="en-US"/>
        </w:rPr>
        <w:t xml:space="preserve">educational institution: more than a half of the interrogated </w:t>
      </w:r>
      <w:r>
        <w:rPr>
          <w:sz w:val="28"/>
          <w:szCs w:val="28"/>
          <w:lang w:val="en-US"/>
        </w:rPr>
        <w:t>students</w:t>
      </w:r>
      <w:r w:rsidRPr="003C5D0E">
        <w:rPr>
          <w:sz w:val="28"/>
          <w:szCs w:val="28"/>
          <w:lang w:val="en-US"/>
        </w:rPr>
        <w:t xml:space="preserve"> (52,6%) are guided by </w:t>
      </w:r>
      <w:r>
        <w:rPr>
          <w:sz w:val="28"/>
          <w:szCs w:val="28"/>
          <w:lang w:val="en-US"/>
        </w:rPr>
        <w:t>the</w:t>
      </w:r>
      <w:r w:rsidRPr="003C5D0E">
        <w:rPr>
          <w:sz w:val="28"/>
          <w:szCs w:val="28"/>
          <w:lang w:val="en-US"/>
        </w:rPr>
        <w:t xml:space="preserve"> high salary. At the same time, for young people important that </w:t>
      </w:r>
      <w:r>
        <w:rPr>
          <w:sz w:val="28"/>
          <w:szCs w:val="28"/>
          <w:lang w:val="en-US"/>
        </w:rPr>
        <w:t xml:space="preserve">the </w:t>
      </w:r>
      <w:r w:rsidRPr="003C5D0E">
        <w:rPr>
          <w:sz w:val="28"/>
          <w:szCs w:val="28"/>
          <w:lang w:val="en-US"/>
        </w:rPr>
        <w:t xml:space="preserve">future place of employment was the prestigious enterprise with </w:t>
      </w:r>
      <w:r>
        <w:rPr>
          <w:sz w:val="28"/>
          <w:szCs w:val="28"/>
          <w:lang w:val="en-US"/>
        </w:rPr>
        <w:t xml:space="preserve">the </w:t>
      </w:r>
      <w:r w:rsidRPr="003C5D0E">
        <w:rPr>
          <w:sz w:val="28"/>
          <w:szCs w:val="28"/>
          <w:lang w:val="en-US"/>
        </w:rPr>
        <w:t>comfortable working conditions and interesting work. However easy and simple work the you</w:t>
      </w:r>
      <w:r w:rsidR="008F5502">
        <w:rPr>
          <w:sz w:val="28"/>
          <w:szCs w:val="28"/>
          <w:lang w:val="en-US"/>
        </w:rPr>
        <w:t xml:space="preserve">th doesn't look for (tab. 2). </w:t>
      </w:r>
    </w:p>
    <w:p w:rsidR="00E70971" w:rsidRPr="003C5D0E" w:rsidRDefault="00E70971" w:rsidP="008F5502">
      <w:pPr>
        <w:spacing w:after="0"/>
        <w:ind w:firstLine="709"/>
        <w:jc w:val="both"/>
        <w:rPr>
          <w:sz w:val="28"/>
          <w:szCs w:val="28"/>
          <w:lang w:val="en-US"/>
        </w:rPr>
      </w:pPr>
    </w:p>
    <w:p w:rsidR="00E70971" w:rsidRPr="00301457" w:rsidRDefault="00E70971" w:rsidP="008F5502">
      <w:pPr>
        <w:spacing w:after="0"/>
        <w:ind w:firstLine="709"/>
        <w:jc w:val="right"/>
        <w:rPr>
          <w:i/>
          <w:sz w:val="28"/>
          <w:szCs w:val="28"/>
          <w:lang w:val="en-US"/>
        </w:rPr>
      </w:pPr>
      <w:r w:rsidRPr="00301457">
        <w:rPr>
          <w:i/>
          <w:sz w:val="28"/>
          <w:szCs w:val="28"/>
          <w:lang w:val="en-US"/>
        </w:rPr>
        <w:lastRenderedPageBreak/>
        <w:t>Table 2</w:t>
      </w:r>
    </w:p>
    <w:p w:rsidR="00E70971" w:rsidRPr="003C5D0E" w:rsidRDefault="00E70971" w:rsidP="008F5502">
      <w:pPr>
        <w:spacing w:after="0"/>
        <w:ind w:firstLine="709"/>
        <w:jc w:val="both"/>
        <w:rPr>
          <w:sz w:val="28"/>
          <w:szCs w:val="28"/>
          <w:lang w:val="en-US"/>
        </w:rPr>
      </w:pPr>
    </w:p>
    <w:p w:rsidR="00E70971" w:rsidRDefault="00E70971" w:rsidP="008F5502">
      <w:pPr>
        <w:spacing w:after="0"/>
        <w:ind w:firstLine="709"/>
        <w:jc w:val="center"/>
        <w:rPr>
          <w:b/>
          <w:sz w:val="28"/>
          <w:szCs w:val="28"/>
        </w:rPr>
      </w:pPr>
      <w:r w:rsidRPr="00301457">
        <w:rPr>
          <w:b/>
          <w:sz w:val="28"/>
          <w:szCs w:val="28"/>
          <w:lang w:val="en-US"/>
        </w:rPr>
        <w:t>The motives of choice of the place of work after graduating from the educational institution (in % of number of respondents)</w:t>
      </w:r>
    </w:p>
    <w:p w:rsidR="008F5502" w:rsidRPr="008F5502" w:rsidRDefault="008F5502" w:rsidP="008F5502">
      <w:pPr>
        <w:spacing w:after="0"/>
        <w:ind w:firstLine="709"/>
        <w:jc w:val="center"/>
        <w:rPr>
          <w:b/>
          <w:sz w:val="28"/>
          <w:szCs w:val="28"/>
        </w:rPr>
      </w:pPr>
    </w:p>
    <w:tbl>
      <w:tblPr>
        <w:tblW w:w="9782" w:type="dxa"/>
        <w:jc w:val="center"/>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12"/>
        <w:gridCol w:w="1134"/>
        <w:gridCol w:w="850"/>
        <w:gridCol w:w="992"/>
        <w:gridCol w:w="851"/>
        <w:gridCol w:w="993"/>
        <w:gridCol w:w="850"/>
      </w:tblGrid>
      <w:tr w:rsidR="00E70971" w:rsidRPr="004051FF" w:rsidTr="008F5502">
        <w:trPr>
          <w:jc w:val="center"/>
        </w:trPr>
        <w:tc>
          <w:tcPr>
            <w:tcW w:w="4112" w:type="dxa"/>
            <w:vMerge w:val="restart"/>
            <w:shd w:val="clear" w:color="auto" w:fill="FFFFFF"/>
            <w:vAlign w:val="center"/>
          </w:tcPr>
          <w:p w:rsidR="00E70971" w:rsidRPr="003C5D0E" w:rsidRDefault="00E70971" w:rsidP="008F5502">
            <w:pPr>
              <w:widowControl w:val="0"/>
              <w:autoSpaceDE w:val="0"/>
              <w:autoSpaceDN w:val="0"/>
              <w:adjustRightInd w:val="0"/>
              <w:ind w:firstLine="0"/>
              <w:jc w:val="center"/>
              <w:rPr>
                <w:b/>
                <w:color w:val="000000"/>
                <w:sz w:val="20"/>
                <w:szCs w:val="20"/>
                <w:lang w:val="en-US"/>
              </w:rPr>
            </w:pPr>
            <w:r>
              <w:rPr>
                <w:b/>
                <w:color w:val="000000"/>
                <w:sz w:val="20"/>
                <w:szCs w:val="20"/>
                <w:lang w:val="en-US"/>
              </w:rPr>
              <w:t>Variants of answers</w:t>
            </w:r>
          </w:p>
        </w:tc>
        <w:tc>
          <w:tcPr>
            <w:tcW w:w="1984" w:type="dxa"/>
            <w:gridSpan w:val="2"/>
            <w:shd w:val="clear" w:color="auto" w:fill="FFFFFF"/>
            <w:vAlign w:val="center"/>
          </w:tcPr>
          <w:p w:rsidR="00E70971" w:rsidRPr="003C5D0E" w:rsidRDefault="00E70971" w:rsidP="008F5502">
            <w:pPr>
              <w:widowControl w:val="0"/>
              <w:autoSpaceDE w:val="0"/>
              <w:autoSpaceDN w:val="0"/>
              <w:adjustRightInd w:val="0"/>
              <w:ind w:firstLine="0"/>
              <w:jc w:val="center"/>
              <w:rPr>
                <w:b/>
                <w:color w:val="000000"/>
                <w:sz w:val="20"/>
                <w:szCs w:val="20"/>
                <w:lang w:val="en-US"/>
              </w:rPr>
            </w:pPr>
            <w:r>
              <w:rPr>
                <w:b/>
                <w:color w:val="000000"/>
                <w:sz w:val="20"/>
                <w:szCs w:val="20"/>
                <w:lang w:val="en-US"/>
              </w:rPr>
              <w:t>Khabarovsk</w:t>
            </w:r>
          </w:p>
        </w:tc>
        <w:tc>
          <w:tcPr>
            <w:tcW w:w="1843" w:type="dxa"/>
            <w:gridSpan w:val="2"/>
            <w:shd w:val="clear" w:color="auto" w:fill="FFFFFF"/>
            <w:vAlign w:val="center"/>
          </w:tcPr>
          <w:p w:rsidR="00E70971" w:rsidRPr="003C5D0E" w:rsidRDefault="00E70971" w:rsidP="008F5502">
            <w:pPr>
              <w:widowControl w:val="0"/>
              <w:autoSpaceDE w:val="0"/>
              <w:autoSpaceDN w:val="0"/>
              <w:adjustRightInd w:val="0"/>
              <w:ind w:left="-107" w:right="-109" w:firstLine="0"/>
              <w:jc w:val="center"/>
              <w:rPr>
                <w:b/>
                <w:color w:val="000000"/>
                <w:sz w:val="20"/>
                <w:szCs w:val="20"/>
                <w:lang w:val="en-US"/>
              </w:rPr>
            </w:pPr>
            <w:r>
              <w:rPr>
                <w:b/>
                <w:color w:val="000000"/>
                <w:sz w:val="20"/>
                <w:szCs w:val="20"/>
                <w:lang w:val="en-US"/>
              </w:rPr>
              <w:t>Komsomolsk-on-the Amur</w:t>
            </w:r>
          </w:p>
        </w:tc>
        <w:tc>
          <w:tcPr>
            <w:tcW w:w="1843" w:type="dxa"/>
            <w:gridSpan w:val="2"/>
            <w:shd w:val="clear" w:color="auto" w:fill="FFFFFF"/>
            <w:vAlign w:val="center"/>
          </w:tcPr>
          <w:p w:rsidR="00E70971" w:rsidRPr="003C5D0E" w:rsidRDefault="00E70971" w:rsidP="008F5502">
            <w:pPr>
              <w:widowControl w:val="0"/>
              <w:autoSpaceDE w:val="0"/>
              <w:autoSpaceDN w:val="0"/>
              <w:adjustRightInd w:val="0"/>
              <w:ind w:firstLine="0"/>
              <w:jc w:val="center"/>
              <w:rPr>
                <w:b/>
                <w:color w:val="000000"/>
                <w:sz w:val="20"/>
                <w:szCs w:val="20"/>
                <w:lang w:val="en-US"/>
              </w:rPr>
            </w:pPr>
            <w:r>
              <w:rPr>
                <w:b/>
                <w:color w:val="000000"/>
                <w:sz w:val="20"/>
                <w:szCs w:val="20"/>
                <w:lang w:val="en-US"/>
              </w:rPr>
              <w:t>Total indicator</w:t>
            </w:r>
          </w:p>
        </w:tc>
      </w:tr>
      <w:tr w:rsidR="00E70971" w:rsidRPr="004051FF" w:rsidTr="008F5502">
        <w:trPr>
          <w:jc w:val="center"/>
        </w:trPr>
        <w:tc>
          <w:tcPr>
            <w:tcW w:w="4112" w:type="dxa"/>
            <w:vMerge/>
          </w:tcPr>
          <w:p w:rsidR="00E70971" w:rsidRPr="004051FF" w:rsidRDefault="00E70971" w:rsidP="008F5502">
            <w:pPr>
              <w:ind w:left="426" w:firstLine="0"/>
              <w:jc w:val="both"/>
              <w:rPr>
                <w:color w:val="000000"/>
              </w:rPr>
            </w:pPr>
          </w:p>
        </w:tc>
        <w:tc>
          <w:tcPr>
            <w:tcW w:w="1134" w:type="dxa"/>
            <w:vAlign w:val="center"/>
          </w:tcPr>
          <w:p w:rsidR="00E70971" w:rsidRPr="004051FF" w:rsidRDefault="00E70971" w:rsidP="008F5502">
            <w:pPr>
              <w:widowControl w:val="0"/>
              <w:autoSpaceDE w:val="0"/>
              <w:autoSpaceDN w:val="0"/>
              <w:adjustRightInd w:val="0"/>
              <w:ind w:firstLine="0"/>
              <w:jc w:val="center"/>
              <w:rPr>
                <w:b/>
                <w:color w:val="000000"/>
              </w:rPr>
            </w:pPr>
            <w:r w:rsidRPr="004051FF">
              <w:rPr>
                <w:b/>
                <w:color w:val="000000"/>
              </w:rPr>
              <w:t>2012</w:t>
            </w:r>
          </w:p>
        </w:tc>
        <w:tc>
          <w:tcPr>
            <w:tcW w:w="850" w:type="dxa"/>
            <w:vAlign w:val="center"/>
          </w:tcPr>
          <w:p w:rsidR="00E70971" w:rsidRPr="004051FF" w:rsidRDefault="00E70971" w:rsidP="008F5502">
            <w:pPr>
              <w:widowControl w:val="0"/>
              <w:autoSpaceDE w:val="0"/>
              <w:autoSpaceDN w:val="0"/>
              <w:adjustRightInd w:val="0"/>
              <w:ind w:firstLine="0"/>
              <w:jc w:val="center"/>
              <w:rPr>
                <w:b/>
                <w:color w:val="000000"/>
              </w:rPr>
            </w:pPr>
            <w:r w:rsidRPr="004051FF">
              <w:rPr>
                <w:b/>
                <w:color w:val="000000"/>
              </w:rPr>
              <w:t>2015</w:t>
            </w:r>
          </w:p>
        </w:tc>
        <w:tc>
          <w:tcPr>
            <w:tcW w:w="992" w:type="dxa"/>
            <w:vAlign w:val="center"/>
          </w:tcPr>
          <w:p w:rsidR="00E70971" w:rsidRPr="004051FF" w:rsidRDefault="00E70971" w:rsidP="008F5502">
            <w:pPr>
              <w:widowControl w:val="0"/>
              <w:autoSpaceDE w:val="0"/>
              <w:autoSpaceDN w:val="0"/>
              <w:adjustRightInd w:val="0"/>
              <w:ind w:firstLine="0"/>
              <w:jc w:val="center"/>
              <w:rPr>
                <w:b/>
                <w:color w:val="000000"/>
              </w:rPr>
            </w:pPr>
            <w:r w:rsidRPr="004051FF">
              <w:rPr>
                <w:b/>
                <w:color w:val="000000"/>
              </w:rPr>
              <w:t>2012</w:t>
            </w:r>
          </w:p>
        </w:tc>
        <w:tc>
          <w:tcPr>
            <w:tcW w:w="851" w:type="dxa"/>
            <w:vAlign w:val="center"/>
          </w:tcPr>
          <w:p w:rsidR="00E70971" w:rsidRPr="004051FF" w:rsidRDefault="00E70971" w:rsidP="008F5502">
            <w:pPr>
              <w:widowControl w:val="0"/>
              <w:autoSpaceDE w:val="0"/>
              <w:autoSpaceDN w:val="0"/>
              <w:adjustRightInd w:val="0"/>
              <w:ind w:firstLine="0"/>
              <w:jc w:val="center"/>
              <w:rPr>
                <w:b/>
                <w:color w:val="000000"/>
              </w:rPr>
            </w:pPr>
            <w:r w:rsidRPr="004051FF">
              <w:rPr>
                <w:b/>
                <w:color w:val="000000"/>
              </w:rPr>
              <w:t>2015</w:t>
            </w:r>
          </w:p>
        </w:tc>
        <w:tc>
          <w:tcPr>
            <w:tcW w:w="993" w:type="dxa"/>
            <w:vAlign w:val="center"/>
          </w:tcPr>
          <w:p w:rsidR="00E70971" w:rsidRPr="004051FF" w:rsidRDefault="00E70971" w:rsidP="008F5502">
            <w:pPr>
              <w:widowControl w:val="0"/>
              <w:autoSpaceDE w:val="0"/>
              <w:autoSpaceDN w:val="0"/>
              <w:adjustRightInd w:val="0"/>
              <w:ind w:firstLine="0"/>
              <w:jc w:val="center"/>
              <w:rPr>
                <w:b/>
                <w:color w:val="000000"/>
              </w:rPr>
            </w:pPr>
            <w:r w:rsidRPr="004051FF">
              <w:rPr>
                <w:b/>
                <w:color w:val="000000"/>
              </w:rPr>
              <w:t>2012</w:t>
            </w:r>
          </w:p>
        </w:tc>
        <w:tc>
          <w:tcPr>
            <w:tcW w:w="850" w:type="dxa"/>
            <w:vAlign w:val="center"/>
          </w:tcPr>
          <w:p w:rsidR="00E70971" w:rsidRPr="004051FF" w:rsidRDefault="00E70971" w:rsidP="008F5502">
            <w:pPr>
              <w:widowControl w:val="0"/>
              <w:autoSpaceDE w:val="0"/>
              <w:autoSpaceDN w:val="0"/>
              <w:adjustRightInd w:val="0"/>
              <w:ind w:firstLine="0"/>
              <w:jc w:val="center"/>
              <w:rPr>
                <w:b/>
                <w:color w:val="000000"/>
              </w:rPr>
            </w:pPr>
            <w:r w:rsidRPr="004051FF">
              <w:rPr>
                <w:b/>
                <w:color w:val="000000"/>
              </w:rPr>
              <w:t>2015</w:t>
            </w:r>
          </w:p>
        </w:tc>
      </w:tr>
      <w:tr w:rsidR="00E70971" w:rsidRPr="004051FF" w:rsidTr="008F5502">
        <w:trPr>
          <w:jc w:val="center"/>
        </w:trPr>
        <w:tc>
          <w:tcPr>
            <w:tcW w:w="4112" w:type="dxa"/>
          </w:tcPr>
          <w:p w:rsidR="00E70971" w:rsidRPr="004051FF" w:rsidRDefault="00E70971" w:rsidP="008F5502">
            <w:pPr>
              <w:pStyle w:val="1"/>
              <w:widowControl w:val="0"/>
              <w:tabs>
                <w:tab w:val="left" w:pos="1134"/>
              </w:tabs>
              <w:rPr>
                <w:color w:val="000000"/>
                <w:sz w:val="24"/>
                <w:szCs w:val="24"/>
              </w:rPr>
            </w:pPr>
            <w:r w:rsidRPr="003C5D0E">
              <w:rPr>
                <w:color w:val="000000"/>
                <w:sz w:val="24"/>
                <w:szCs w:val="24"/>
              </w:rPr>
              <w:t>Prestigious enterprise, organization</w:t>
            </w:r>
          </w:p>
        </w:tc>
        <w:tc>
          <w:tcPr>
            <w:tcW w:w="1134" w:type="dxa"/>
            <w:vAlign w:val="center"/>
          </w:tcPr>
          <w:p w:rsidR="00E70971" w:rsidRPr="004051FF" w:rsidRDefault="00E70971" w:rsidP="008F5502">
            <w:pPr>
              <w:widowControl w:val="0"/>
              <w:autoSpaceDE w:val="0"/>
              <w:autoSpaceDN w:val="0"/>
              <w:adjustRightInd w:val="0"/>
              <w:ind w:firstLine="0"/>
              <w:jc w:val="center"/>
              <w:rPr>
                <w:color w:val="000000"/>
              </w:rPr>
            </w:pPr>
            <w:r w:rsidRPr="004051FF">
              <w:rPr>
                <w:color w:val="000000"/>
              </w:rPr>
              <w:t>39,7</w:t>
            </w:r>
          </w:p>
        </w:tc>
        <w:tc>
          <w:tcPr>
            <w:tcW w:w="850" w:type="dxa"/>
            <w:vAlign w:val="center"/>
          </w:tcPr>
          <w:p w:rsidR="00E70971" w:rsidRPr="004051FF" w:rsidRDefault="00E70971" w:rsidP="008F5502">
            <w:pPr>
              <w:ind w:firstLine="0"/>
              <w:jc w:val="center"/>
              <w:rPr>
                <w:color w:val="000000"/>
              </w:rPr>
            </w:pPr>
            <w:r w:rsidRPr="004051FF">
              <w:rPr>
                <w:color w:val="000000"/>
              </w:rPr>
              <w:t>49,5</w:t>
            </w:r>
          </w:p>
        </w:tc>
        <w:tc>
          <w:tcPr>
            <w:tcW w:w="992" w:type="dxa"/>
            <w:vAlign w:val="center"/>
          </w:tcPr>
          <w:p w:rsidR="00E70971" w:rsidRPr="004051FF" w:rsidRDefault="00E70971" w:rsidP="008F5502">
            <w:pPr>
              <w:widowControl w:val="0"/>
              <w:autoSpaceDE w:val="0"/>
              <w:autoSpaceDN w:val="0"/>
              <w:adjustRightInd w:val="0"/>
              <w:ind w:firstLine="0"/>
              <w:jc w:val="center"/>
              <w:rPr>
                <w:color w:val="000000"/>
              </w:rPr>
            </w:pPr>
            <w:r w:rsidRPr="004051FF">
              <w:rPr>
                <w:color w:val="000000"/>
              </w:rPr>
              <w:t>47,1</w:t>
            </w:r>
          </w:p>
        </w:tc>
        <w:tc>
          <w:tcPr>
            <w:tcW w:w="851" w:type="dxa"/>
            <w:vAlign w:val="center"/>
          </w:tcPr>
          <w:p w:rsidR="00E70971" w:rsidRPr="004051FF" w:rsidRDefault="00E70971" w:rsidP="008F5502">
            <w:pPr>
              <w:widowControl w:val="0"/>
              <w:autoSpaceDE w:val="0"/>
              <w:autoSpaceDN w:val="0"/>
              <w:adjustRightInd w:val="0"/>
              <w:ind w:firstLine="0"/>
              <w:jc w:val="center"/>
              <w:rPr>
                <w:color w:val="000000"/>
              </w:rPr>
            </w:pPr>
            <w:r w:rsidRPr="004051FF">
              <w:rPr>
                <w:color w:val="000000"/>
              </w:rPr>
              <w:t>47,3</w:t>
            </w:r>
          </w:p>
        </w:tc>
        <w:tc>
          <w:tcPr>
            <w:tcW w:w="993" w:type="dxa"/>
            <w:vAlign w:val="center"/>
          </w:tcPr>
          <w:p w:rsidR="00E70971" w:rsidRPr="004051FF" w:rsidRDefault="00E70971" w:rsidP="008F5502">
            <w:pPr>
              <w:widowControl w:val="0"/>
              <w:autoSpaceDE w:val="0"/>
              <w:autoSpaceDN w:val="0"/>
              <w:adjustRightInd w:val="0"/>
              <w:ind w:firstLine="0"/>
              <w:jc w:val="center"/>
              <w:rPr>
                <w:color w:val="000000"/>
              </w:rPr>
            </w:pPr>
            <w:r w:rsidRPr="004051FF">
              <w:rPr>
                <w:color w:val="000000"/>
              </w:rPr>
              <w:t>44,1</w:t>
            </w:r>
          </w:p>
        </w:tc>
        <w:tc>
          <w:tcPr>
            <w:tcW w:w="850" w:type="dxa"/>
            <w:vAlign w:val="center"/>
          </w:tcPr>
          <w:p w:rsidR="00E70971" w:rsidRPr="004051FF" w:rsidRDefault="00E70971" w:rsidP="008F5502">
            <w:pPr>
              <w:widowControl w:val="0"/>
              <w:autoSpaceDE w:val="0"/>
              <w:autoSpaceDN w:val="0"/>
              <w:adjustRightInd w:val="0"/>
              <w:ind w:firstLine="0"/>
              <w:jc w:val="center"/>
              <w:rPr>
                <w:color w:val="000000"/>
              </w:rPr>
            </w:pPr>
            <w:r w:rsidRPr="004051FF">
              <w:rPr>
                <w:color w:val="000000"/>
              </w:rPr>
              <w:t>48,4</w:t>
            </w:r>
          </w:p>
        </w:tc>
      </w:tr>
      <w:tr w:rsidR="00E70971" w:rsidRPr="004051FF" w:rsidTr="008F5502">
        <w:trPr>
          <w:jc w:val="center"/>
        </w:trPr>
        <w:tc>
          <w:tcPr>
            <w:tcW w:w="4112" w:type="dxa"/>
          </w:tcPr>
          <w:p w:rsidR="00E70971" w:rsidRPr="003C5D0E" w:rsidRDefault="00E70971" w:rsidP="008F5502">
            <w:pPr>
              <w:pStyle w:val="1"/>
              <w:widowControl w:val="0"/>
              <w:tabs>
                <w:tab w:val="left" w:pos="1134"/>
              </w:tabs>
              <w:rPr>
                <w:color w:val="000000"/>
                <w:sz w:val="24"/>
                <w:szCs w:val="24"/>
                <w:lang w:val="en-US"/>
              </w:rPr>
            </w:pPr>
            <w:r>
              <w:rPr>
                <w:color w:val="000000"/>
                <w:sz w:val="24"/>
                <w:szCs w:val="24"/>
                <w:lang w:val="en-US"/>
              </w:rPr>
              <w:t>Interesting work</w:t>
            </w:r>
          </w:p>
        </w:tc>
        <w:tc>
          <w:tcPr>
            <w:tcW w:w="1134" w:type="dxa"/>
            <w:vAlign w:val="center"/>
          </w:tcPr>
          <w:p w:rsidR="00E70971" w:rsidRPr="004051FF" w:rsidRDefault="00E70971" w:rsidP="008F5502">
            <w:pPr>
              <w:widowControl w:val="0"/>
              <w:autoSpaceDE w:val="0"/>
              <w:autoSpaceDN w:val="0"/>
              <w:adjustRightInd w:val="0"/>
              <w:ind w:firstLine="0"/>
              <w:jc w:val="center"/>
              <w:rPr>
                <w:color w:val="000000"/>
              </w:rPr>
            </w:pPr>
            <w:r w:rsidRPr="004051FF">
              <w:rPr>
                <w:color w:val="000000"/>
              </w:rPr>
              <w:t>37,0</w:t>
            </w:r>
          </w:p>
        </w:tc>
        <w:tc>
          <w:tcPr>
            <w:tcW w:w="850" w:type="dxa"/>
            <w:vAlign w:val="center"/>
          </w:tcPr>
          <w:p w:rsidR="00E70971" w:rsidRPr="004051FF" w:rsidRDefault="00E70971" w:rsidP="008F5502">
            <w:pPr>
              <w:ind w:firstLine="0"/>
              <w:jc w:val="center"/>
              <w:rPr>
                <w:color w:val="000000"/>
              </w:rPr>
            </w:pPr>
            <w:r w:rsidRPr="004051FF">
              <w:rPr>
                <w:color w:val="000000"/>
              </w:rPr>
              <w:t>41</w:t>
            </w:r>
          </w:p>
        </w:tc>
        <w:tc>
          <w:tcPr>
            <w:tcW w:w="992" w:type="dxa"/>
            <w:vAlign w:val="center"/>
          </w:tcPr>
          <w:p w:rsidR="00E70971" w:rsidRPr="004051FF" w:rsidRDefault="00E70971" w:rsidP="008F5502">
            <w:pPr>
              <w:widowControl w:val="0"/>
              <w:autoSpaceDE w:val="0"/>
              <w:autoSpaceDN w:val="0"/>
              <w:adjustRightInd w:val="0"/>
              <w:ind w:firstLine="0"/>
              <w:jc w:val="center"/>
              <w:rPr>
                <w:color w:val="000000"/>
              </w:rPr>
            </w:pPr>
            <w:r w:rsidRPr="004051FF">
              <w:rPr>
                <w:color w:val="000000"/>
              </w:rPr>
              <w:t>49,5</w:t>
            </w:r>
          </w:p>
        </w:tc>
        <w:tc>
          <w:tcPr>
            <w:tcW w:w="851" w:type="dxa"/>
            <w:vAlign w:val="center"/>
          </w:tcPr>
          <w:p w:rsidR="00E70971" w:rsidRPr="004051FF" w:rsidRDefault="00E70971" w:rsidP="008F5502">
            <w:pPr>
              <w:widowControl w:val="0"/>
              <w:autoSpaceDE w:val="0"/>
              <w:autoSpaceDN w:val="0"/>
              <w:adjustRightInd w:val="0"/>
              <w:ind w:firstLine="0"/>
              <w:jc w:val="center"/>
              <w:rPr>
                <w:color w:val="000000"/>
              </w:rPr>
            </w:pPr>
            <w:r w:rsidRPr="004051FF">
              <w:rPr>
                <w:color w:val="000000"/>
              </w:rPr>
              <w:t>48,9</w:t>
            </w:r>
          </w:p>
        </w:tc>
        <w:tc>
          <w:tcPr>
            <w:tcW w:w="993" w:type="dxa"/>
            <w:vAlign w:val="center"/>
          </w:tcPr>
          <w:p w:rsidR="00E70971" w:rsidRPr="004051FF" w:rsidRDefault="00E70971" w:rsidP="008F5502">
            <w:pPr>
              <w:widowControl w:val="0"/>
              <w:autoSpaceDE w:val="0"/>
              <w:autoSpaceDN w:val="0"/>
              <w:adjustRightInd w:val="0"/>
              <w:ind w:firstLine="0"/>
              <w:jc w:val="center"/>
              <w:rPr>
                <w:color w:val="000000"/>
              </w:rPr>
            </w:pPr>
            <w:r w:rsidRPr="004051FF">
              <w:rPr>
                <w:color w:val="000000"/>
              </w:rPr>
              <w:t>44,4</w:t>
            </w:r>
          </w:p>
        </w:tc>
        <w:tc>
          <w:tcPr>
            <w:tcW w:w="850" w:type="dxa"/>
            <w:vAlign w:val="center"/>
          </w:tcPr>
          <w:p w:rsidR="00E70971" w:rsidRPr="004051FF" w:rsidRDefault="00E70971" w:rsidP="008F5502">
            <w:pPr>
              <w:widowControl w:val="0"/>
              <w:autoSpaceDE w:val="0"/>
              <w:autoSpaceDN w:val="0"/>
              <w:adjustRightInd w:val="0"/>
              <w:ind w:firstLine="0"/>
              <w:jc w:val="center"/>
              <w:rPr>
                <w:color w:val="000000"/>
              </w:rPr>
            </w:pPr>
            <w:r w:rsidRPr="004051FF">
              <w:rPr>
                <w:color w:val="000000"/>
              </w:rPr>
              <w:t>44,9</w:t>
            </w:r>
          </w:p>
        </w:tc>
      </w:tr>
      <w:tr w:rsidR="00E70971" w:rsidRPr="004051FF" w:rsidTr="008F5502">
        <w:trPr>
          <w:jc w:val="center"/>
        </w:trPr>
        <w:tc>
          <w:tcPr>
            <w:tcW w:w="4112" w:type="dxa"/>
          </w:tcPr>
          <w:p w:rsidR="00E70971" w:rsidRPr="004051FF" w:rsidRDefault="00E70971" w:rsidP="008F5502">
            <w:pPr>
              <w:pStyle w:val="1"/>
              <w:widowControl w:val="0"/>
              <w:tabs>
                <w:tab w:val="left" w:pos="1134"/>
              </w:tabs>
              <w:rPr>
                <w:color w:val="000000"/>
                <w:sz w:val="24"/>
                <w:szCs w:val="24"/>
              </w:rPr>
            </w:pPr>
            <w:r w:rsidRPr="003C5D0E">
              <w:rPr>
                <w:color w:val="000000"/>
                <w:sz w:val="24"/>
                <w:szCs w:val="24"/>
              </w:rPr>
              <w:t>Simple and easy work</w:t>
            </w:r>
          </w:p>
        </w:tc>
        <w:tc>
          <w:tcPr>
            <w:tcW w:w="1134" w:type="dxa"/>
            <w:vAlign w:val="center"/>
          </w:tcPr>
          <w:p w:rsidR="00E70971" w:rsidRPr="004051FF" w:rsidRDefault="00E70971" w:rsidP="008F5502">
            <w:pPr>
              <w:widowControl w:val="0"/>
              <w:autoSpaceDE w:val="0"/>
              <w:autoSpaceDN w:val="0"/>
              <w:adjustRightInd w:val="0"/>
              <w:ind w:firstLine="0"/>
              <w:jc w:val="center"/>
              <w:rPr>
                <w:color w:val="000000"/>
              </w:rPr>
            </w:pPr>
            <w:r w:rsidRPr="004051FF">
              <w:rPr>
                <w:color w:val="000000"/>
              </w:rPr>
              <w:t>14,4</w:t>
            </w:r>
          </w:p>
        </w:tc>
        <w:tc>
          <w:tcPr>
            <w:tcW w:w="850" w:type="dxa"/>
            <w:vAlign w:val="center"/>
          </w:tcPr>
          <w:p w:rsidR="00E70971" w:rsidRPr="004051FF" w:rsidRDefault="00E70971" w:rsidP="008F5502">
            <w:pPr>
              <w:ind w:firstLine="0"/>
              <w:jc w:val="center"/>
              <w:rPr>
                <w:color w:val="000000"/>
              </w:rPr>
            </w:pPr>
            <w:r w:rsidRPr="004051FF">
              <w:rPr>
                <w:color w:val="000000"/>
              </w:rPr>
              <w:t>11,4</w:t>
            </w:r>
          </w:p>
        </w:tc>
        <w:tc>
          <w:tcPr>
            <w:tcW w:w="992" w:type="dxa"/>
            <w:vAlign w:val="center"/>
          </w:tcPr>
          <w:p w:rsidR="00E70971" w:rsidRPr="004051FF" w:rsidRDefault="00E70971" w:rsidP="008F5502">
            <w:pPr>
              <w:widowControl w:val="0"/>
              <w:autoSpaceDE w:val="0"/>
              <w:autoSpaceDN w:val="0"/>
              <w:adjustRightInd w:val="0"/>
              <w:ind w:firstLine="0"/>
              <w:jc w:val="center"/>
              <w:rPr>
                <w:color w:val="000000"/>
              </w:rPr>
            </w:pPr>
            <w:r w:rsidRPr="004051FF">
              <w:rPr>
                <w:color w:val="000000"/>
              </w:rPr>
              <w:t>10,0</w:t>
            </w:r>
          </w:p>
        </w:tc>
        <w:tc>
          <w:tcPr>
            <w:tcW w:w="851" w:type="dxa"/>
            <w:vAlign w:val="center"/>
          </w:tcPr>
          <w:p w:rsidR="00E70971" w:rsidRPr="004051FF" w:rsidRDefault="00E70971" w:rsidP="008F5502">
            <w:pPr>
              <w:widowControl w:val="0"/>
              <w:autoSpaceDE w:val="0"/>
              <w:autoSpaceDN w:val="0"/>
              <w:adjustRightInd w:val="0"/>
              <w:ind w:firstLine="0"/>
              <w:jc w:val="center"/>
              <w:rPr>
                <w:color w:val="000000"/>
              </w:rPr>
            </w:pPr>
            <w:r w:rsidRPr="004051FF">
              <w:rPr>
                <w:color w:val="000000"/>
              </w:rPr>
              <w:t>11,5</w:t>
            </w:r>
          </w:p>
        </w:tc>
        <w:tc>
          <w:tcPr>
            <w:tcW w:w="993" w:type="dxa"/>
            <w:vAlign w:val="center"/>
          </w:tcPr>
          <w:p w:rsidR="00E70971" w:rsidRPr="004051FF" w:rsidRDefault="00E70971" w:rsidP="008F5502">
            <w:pPr>
              <w:widowControl w:val="0"/>
              <w:autoSpaceDE w:val="0"/>
              <w:autoSpaceDN w:val="0"/>
              <w:adjustRightInd w:val="0"/>
              <w:ind w:firstLine="0"/>
              <w:jc w:val="center"/>
              <w:rPr>
                <w:color w:val="000000"/>
              </w:rPr>
            </w:pPr>
            <w:r w:rsidRPr="004051FF">
              <w:rPr>
                <w:color w:val="000000"/>
              </w:rPr>
              <w:t>11,8</w:t>
            </w:r>
          </w:p>
        </w:tc>
        <w:tc>
          <w:tcPr>
            <w:tcW w:w="850" w:type="dxa"/>
            <w:vAlign w:val="center"/>
          </w:tcPr>
          <w:p w:rsidR="00E70971" w:rsidRPr="004051FF" w:rsidRDefault="00E70971" w:rsidP="008F5502">
            <w:pPr>
              <w:widowControl w:val="0"/>
              <w:autoSpaceDE w:val="0"/>
              <w:autoSpaceDN w:val="0"/>
              <w:adjustRightInd w:val="0"/>
              <w:ind w:firstLine="0"/>
              <w:jc w:val="center"/>
              <w:rPr>
                <w:color w:val="000000"/>
              </w:rPr>
            </w:pPr>
            <w:r w:rsidRPr="004051FF">
              <w:rPr>
                <w:color w:val="000000"/>
              </w:rPr>
              <w:t>11,4</w:t>
            </w:r>
          </w:p>
        </w:tc>
      </w:tr>
      <w:tr w:rsidR="00E70971" w:rsidRPr="004051FF" w:rsidTr="008F5502">
        <w:trPr>
          <w:jc w:val="center"/>
        </w:trPr>
        <w:tc>
          <w:tcPr>
            <w:tcW w:w="4112" w:type="dxa"/>
          </w:tcPr>
          <w:p w:rsidR="00E70971" w:rsidRPr="004051FF" w:rsidRDefault="00E70971" w:rsidP="008F5502">
            <w:pPr>
              <w:pStyle w:val="1"/>
              <w:widowControl w:val="0"/>
              <w:tabs>
                <w:tab w:val="left" w:pos="1134"/>
              </w:tabs>
              <w:rPr>
                <w:color w:val="000000"/>
                <w:sz w:val="24"/>
                <w:szCs w:val="24"/>
              </w:rPr>
            </w:pPr>
            <w:r w:rsidRPr="003C5D0E">
              <w:rPr>
                <w:color w:val="000000"/>
                <w:sz w:val="24"/>
                <w:szCs w:val="24"/>
              </w:rPr>
              <w:t>Comfortable working conditions</w:t>
            </w:r>
          </w:p>
        </w:tc>
        <w:tc>
          <w:tcPr>
            <w:tcW w:w="1134" w:type="dxa"/>
            <w:vAlign w:val="center"/>
          </w:tcPr>
          <w:p w:rsidR="00E70971" w:rsidRPr="004051FF" w:rsidRDefault="00E70971" w:rsidP="008F5502">
            <w:pPr>
              <w:widowControl w:val="0"/>
              <w:autoSpaceDE w:val="0"/>
              <w:autoSpaceDN w:val="0"/>
              <w:adjustRightInd w:val="0"/>
              <w:ind w:firstLine="0"/>
              <w:jc w:val="center"/>
              <w:rPr>
                <w:color w:val="000000"/>
              </w:rPr>
            </w:pPr>
            <w:r w:rsidRPr="004051FF">
              <w:rPr>
                <w:color w:val="000000"/>
              </w:rPr>
              <w:t>38,4</w:t>
            </w:r>
          </w:p>
        </w:tc>
        <w:tc>
          <w:tcPr>
            <w:tcW w:w="850" w:type="dxa"/>
            <w:vAlign w:val="center"/>
          </w:tcPr>
          <w:p w:rsidR="00E70971" w:rsidRPr="004051FF" w:rsidRDefault="00E70971" w:rsidP="008F5502">
            <w:pPr>
              <w:ind w:firstLine="0"/>
              <w:jc w:val="center"/>
              <w:rPr>
                <w:color w:val="000000"/>
              </w:rPr>
            </w:pPr>
            <w:r w:rsidRPr="004051FF">
              <w:rPr>
                <w:color w:val="000000"/>
              </w:rPr>
              <w:t>40</w:t>
            </w:r>
          </w:p>
        </w:tc>
        <w:tc>
          <w:tcPr>
            <w:tcW w:w="992" w:type="dxa"/>
            <w:vAlign w:val="center"/>
          </w:tcPr>
          <w:p w:rsidR="00E70971" w:rsidRPr="004051FF" w:rsidRDefault="00E70971" w:rsidP="008F5502">
            <w:pPr>
              <w:widowControl w:val="0"/>
              <w:autoSpaceDE w:val="0"/>
              <w:autoSpaceDN w:val="0"/>
              <w:adjustRightInd w:val="0"/>
              <w:ind w:firstLine="0"/>
              <w:jc w:val="center"/>
              <w:rPr>
                <w:color w:val="000000"/>
              </w:rPr>
            </w:pPr>
            <w:r w:rsidRPr="004051FF">
              <w:rPr>
                <w:color w:val="000000"/>
              </w:rPr>
              <w:t>34,8</w:t>
            </w:r>
          </w:p>
        </w:tc>
        <w:tc>
          <w:tcPr>
            <w:tcW w:w="851" w:type="dxa"/>
            <w:vAlign w:val="center"/>
          </w:tcPr>
          <w:p w:rsidR="00E70971" w:rsidRPr="004051FF" w:rsidRDefault="00E70971" w:rsidP="008F5502">
            <w:pPr>
              <w:widowControl w:val="0"/>
              <w:autoSpaceDE w:val="0"/>
              <w:autoSpaceDN w:val="0"/>
              <w:adjustRightInd w:val="0"/>
              <w:ind w:firstLine="0"/>
              <w:jc w:val="center"/>
              <w:rPr>
                <w:color w:val="000000"/>
              </w:rPr>
            </w:pPr>
            <w:r w:rsidRPr="004051FF">
              <w:rPr>
                <w:color w:val="000000"/>
              </w:rPr>
              <w:t>41</w:t>
            </w:r>
          </w:p>
        </w:tc>
        <w:tc>
          <w:tcPr>
            <w:tcW w:w="993" w:type="dxa"/>
            <w:vAlign w:val="center"/>
          </w:tcPr>
          <w:p w:rsidR="00E70971" w:rsidRPr="004051FF" w:rsidRDefault="00E70971" w:rsidP="008F5502">
            <w:pPr>
              <w:widowControl w:val="0"/>
              <w:autoSpaceDE w:val="0"/>
              <w:autoSpaceDN w:val="0"/>
              <w:adjustRightInd w:val="0"/>
              <w:ind w:firstLine="0"/>
              <w:jc w:val="center"/>
              <w:rPr>
                <w:color w:val="000000"/>
              </w:rPr>
            </w:pPr>
            <w:r w:rsidRPr="004051FF">
              <w:rPr>
                <w:color w:val="000000"/>
              </w:rPr>
              <w:t>36,2</w:t>
            </w:r>
          </w:p>
        </w:tc>
        <w:tc>
          <w:tcPr>
            <w:tcW w:w="850" w:type="dxa"/>
            <w:vAlign w:val="center"/>
          </w:tcPr>
          <w:p w:rsidR="00E70971" w:rsidRPr="004051FF" w:rsidRDefault="00E70971" w:rsidP="008F5502">
            <w:pPr>
              <w:widowControl w:val="0"/>
              <w:autoSpaceDE w:val="0"/>
              <w:autoSpaceDN w:val="0"/>
              <w:adjustRightInd w:val="0"/>
              <w:ind w:firstLine="0"/>
              <w:jc w:val="center"/>
              <w:rPr>
                <w:color w:val="000000"/>
              </w:rPr>
            </w:pPr>
            <w:r w:rsidRPr="004051FF">
              <w:rPr>
                <w:color w:val="000000"/>
              </w:rPr>
              <w:t>40,05</w:t>
            </w:r>
          </w:p>
        </w:tc>
      </w:tr>
      <w:tr w:rsidR="00E70971" w:rsidRPr="004051FF" w:rsidTr="008F5502">
        <w:trPr>
          <w:jc w:val="center"/>
        </w:trPr>
        <w:tc>
          <w:tcPr>
            <w:tcW w:w="4112" w:type="dxa"/>
          </w:tcPr>
          <w:p w:rsidR="00E70971" w:rsidRPr="004051FF" w:rsidRDefault="00E70971" w:rsidP="008F5502">
            <w:pPr>
              <w:pStyle w:val="1"/>
              <w:widowControl w:val="0"/>
              <w:tabs>
                <w:tab w:val="left" w:pos="1134"/>
              </w:tabs>
              <w:rPr>
                <w:color w:val="000000"/>
                <w:sz w:val="24"/>
                <w:szCs w:val="24"/>
              </w:rPr>
            </w:pPr>
            <w:r w:rsidRPr="003C5D0E">
              <w:rPr>
                <w:color w:val="000000"/>
                <w:sz w:val="24"/>
                <w:szCs w:val="24"/>
              </w:rPr>
              <w:t>Big salary</w:t>
            </w:r>
          </w:p>
        </w:tc>
        <w:tc>
          <w:tcPr>
            <w:tcW w:w="1134" w:type="dxa"/>
            <w:vAlign w:val="center"/>
          </w:tcPr>
          <w:p w:rsidR="00E70971" w:rsidRPr="004051FF" w:rsidRDefault="00E70971" w:rsidP="008F5502">
            <w:pPr>
              <w:widowControl w:val="0"/>
              <w:autoSpaceDE w:val="0"/>
              <w:autoSpaceDN w:val="0"/>
              <w:adjustRightInd w:val="0"/>
              <w:ind w:firstLine="0"/>
              <w:jc w:val="center"/>
              <w:rPr>
                <w:color w:val="000000"/>
              </w:rPr>
            </w:pPr>
            <w:r w:rsidRPr="004051FF">
              <w:rPr>
                <w:color w:val="000000"/>
              </w:rPr>
              <w:t>63,7</w:t>
            </w:r>
          </w:p>
        </w:tc>
        <w:tc>
          <w:tcPr>
            <w:tcW w:w="850" w:type="dxa"/>
            <w:vAlign w:val="center"/>
          </w:tcPr>
          <w:p w:rsidR="00E70971" w:rsidRPr="004051FF" w:rsidRDefault="00E70971" w:rsidP="008F5502">
            <w:pPr>
              <w:ind w:firstLine="0"/>
              <w:jc w:val="center"/>
              <w:rPr>
                <w:color w:val="000000"/>
              </w:rPr>
            </w:pPr>
            <w:r w:rsidRPr="004051FF">
              <w:rPr>
                <w:color w:val="000000"/>
              </w:rPr>
              <w:t>55,2</w:t>
            </w:r>
          </w:p>
        </w:tc>
        <w:tc>
          <w:tcPr>
            <w:tcW w:w="992" w:type="dxa"/>
            <w:vAlign w:val="center"/>
          </w:tcPr>
          <w:p w:rsidR="00E70971" w:rsidRPr="004051FF" w:rsidRDefault="00E70971" w:rsidP="008F5502">
            <w:pPr>
              <w:widowControl w:val="0"/>
              <w:autoSpaceDE w:val="0"/>
              <w:autoSpaceDN w:val="0"/>
              <w:adjustRightInd w:val="0"/>
              <w:ind w:firstLine="0"/>
              <w:jc w:val="center"/>
              <w:rPr>
                <w:color w:val="000000"/>
              </w:rPr>
            </w:pPr>
            <w:r w:rsidRPr="004051FF">
              <w:rPr>
                <w:color w:val="000000"/>
              </w:rPr>
              <w:t>55,2</w:t>
            </w:r>
          </w:p>
        </w:tc>
        <w:tc>
          <w:tcPr>
            <w:tcW w:w="851" w:type="dxa"/>
            <w:vAlign w:val="center"/>
          </w:tcPr>
          <w:p w:rsidR="00E70971" w:rsidRPr="004051FF" w:rsidRDefault="00E70971" w:rsidP="008F5502">
            <w:pPr>
              <w:widowControl w:val="0"/>
              <w:autoSpaceDE w:val="0"/>
              <w:autoSpaceDN w:val="0"/>
              <w:adjustRightInd w:val="0"/>
              <w:ind w:firstLine="0"/>
              <w:jc w:val="center"/>
              <w:rPr>
                <w:color w:val="000000"/>
              </w:rPr>
            </w:pPr>
            <w:r w:rsidRPr="004051FF">
              <w:rPr>
                <w:color w:val="000000"/>
              </w:rPr>
              <w:t>50</w:t>
            </w:r>
          </w:p>
        </w:tc>
        <w:tc>
          <w:tcPr>
            <w:tcW w:w="993" w:type="dxa"/>
            <w:vAlign w:val="center"/>
          </w:tcPr>
          <w:p w:rsidR="00E70971" w:rsidRPr="004051FF" w:rsidRDefault="00E70971" w:rsidP="008F5502">
            <w:pPr>
              <w:widowControl w:val="0"/>
              <w:autoSpaceDE w:val="0"/>
              <w:autoSpaceDN w:val="0"/>
              <w:adjustRightInd w:val="0"/>
              <w:ind w:firstLine="0"/>
              <w:jc w:val="center"/>
              <w:rPr>
                <w:color w:val="000000"/>
              </w:rPr>
            </w:pPr>
            <w:r w:rsidRPr="004051FF">
              <w:rPr>
                <w:color w:val="000000"/>
              </w:rPr>
              <w:t>58,7</w:t>
            </w:r>
          </w:p>
        </w:tc>
        <w:tc>
          <w:tcPr>
            <w:tcW w:w="850" w:type="dxa"/>
            <w:vAlign w:val="center"/>
          </w:tcPr>
          <w:p w:rsidR="00E70971" w:rsidRPr="004051FF" w:rsidRDefault="00E70971" w:rsidP="008F5502">
            <w:pPr>
              <w:widowControl w:val="0"/>
              <w:autoSpaceDE w:val="0"/>
              <w:autoSpaceDN w:val="0"/>
              <w:adjustRightInd w:val="0"/>
              <w:ind w:firstLine="0"/>
              <w:jc w:val="center"/>
              <w:rPr>
                <w:color w:val="000000"/>
              </w:rPr>
            </w:pPr>
            <w:r w:rsidRPr="004051FF">
              <w:rPr>
                <w:color w:val="000000"/>
              </w:rPr>
              <w:t>52,6</w:t>
            </w:r>
          </w:p>
        </w:tc>
      </w:tr>
      <w:tr w:rsidR="00E70971" w:rsidRPr="004051FF" w:rsidTr="008F5502">
        <w:trPr>
          <w:jc w:val="center"/>
        </w:trPr>
        <w:tc>
          <w:tcPr>
            <w:tcW w:w="4112" w:type="dxa"/>
          </w:tcPr>
          <w:p w:rsidR="00E70971" w:rsidRPr="00301457" w:rsidRDefault="00E70971" w:rsidP="008F5502">
            <w:pPr>
              <w:pStyle w:val="1"/>
              <w:widowControl w:val="0"/>
              <w:tabs>
                <w:tab w:val="left" w:pos="1134"/>
              </w:tabs>
              <w:rPr>
                <w:color w:val="000000"/>
                <w:sz w:val="24"/>
                <w:szCs w:val="24"/>
                <w:lang w:val="en-US"/>
              </w:rPr>
            </w:pPr>
            <w:r w:rsidRPr="003C5D0E">
              <w:rPr>
                <w:color w:val="000000"/>
                <w:sz w:val="24"/>
                <w:szCs w:val="24"/>
              </w:rPr>
              <w:t xml:space="preserve">Free </w:t>
            </w:r>
            <w:r>
              <w:rPr>
                <w:color w:val="000000"/>
                <w:sz w:val="24"/>
                <w:szCs w:val="24"/>
                <w:lang w:val="en-US"/>
              </w:rPr>
              <w:t>regime of work</w:t>
            </w:r>
          </w:p>
        </w:tc>
        <w:tc>
          <w:tcPr>
            <w:tcW w:w="1134" w:type="dxa"/>
            <w:vAlign w:val="center"/>
          </w:tcPr>
          <w:p w:rsidR="00E70971" w:rsidRPr="004051FF" w:rsidRDefault="00E70971" w:rsidP="008F5502">
            <w:pPr>
              <w:widowControl w:val="0"/>
              <w:autoSpaceDE w:val="0"/>
              <w:autoSpaceDN w:val="0"/>
              <w:adjustRightInd w:val="0"/>
              <w:ind w:firstLine="0"/>
              <w:jc w:val="center"/>
              <w:rPr>
                <w:color w:val="000000"/>
              </w:rPr>
            </w:pPr>
            <w:r w:rsidRPr="004051FF">
              <w:rPr>
                <w:color w:val="000000"/>
              </w:rPr>
              <w:t>15,8</w:t>
            </w:r>
          </w:p>
        </w:tc>
        <w:tc>
          <w:tcPr>
            <w:tcW w:w="850" w:type="dxa"/>
            <w:vAlign w:val="center"/>
          </w:tcPr>
          <w:p w:rsidR="00E70971" w:rsidRPr="004051FF" w:rsidRDefault="00E70971" w:rsidP="008F5502">
            <w:pPr>
              <w:ind w:firstLine="0"/>
              <w:jc w:val="center"/>
              <w:rPr>
                <w:color w:val="000000"/>
              </w:rPr>
            </w:pPr>
            <w:r w:rsidRPr="004051FF">
              <w:rPr>
                <w:color w:val="000000"/>
              </w:rPr>
              <w:t>11</w:t>
            </w:r>
          </w:p>
        </w:tc>
        <w:tc>
          <w:tcPr>
            <w:tcW w:w="992" w:type="dxa"/>
            <w:vAlign w:val="center"/>
          </w:tcPr>
          <w:p w:rsidR="00E70971" w:rsidRPr="004051FF" w:rsidRDefault="00E70971" w:rsidP="008F5502">
            <w:pPr>
              <w:widowControl w:val="0"/>
              <w:autoSpaceDE w:val="0"/>
              <w:autoSpaceDN w:val="0"/>
              <w:adjustRightInd w:val="0"/>
              <w:ind w:firstLine="0"/>
              <w:jc w:val="center"/>
              <w:rPr>
                <w:color w:val="000000"/>
              </w:rPr>
            </w:pPr>
            <w:r w:rsidRPr="004051FF">
              <w:rPr>
                <w:color w:val="000000"/>
              </w:rPr>
              <w:t>12,4</w:t>
            </w:r>
          </w:p>
        </w:tc>
        <w:tc>
          <w:tcPr>
            <w:tcW w:w="851" w:type="dxa"/>
            <w:vAlign w:val="center"/>
          </w:tcPr>
          <w:p w:rsidR="00E70971" w:rsidRPr="004051FF" w:rsidRDefault="00E70971" w:rsidP="008F5502">
            <w:pPr>
              <w:widowControl w:val="0"/>
              <w:autoSpaceDE w:val="0"/>
              <w:autoSpaceDN w:val="0"/>
              <w:adjustRightInd w:val="0"/>
              <w:ind w:firstLine="0"/>
              <w:jc w:val="center"/>
              <w:rPr>
                <w:color w:val="000000"/>
              </w:rPr>
            </w:pPr>
            <w:r w:rsidRPr="004051FF">
              <w:rPr>
                <w:color w:val="000000"/>
              </w:rPr>
              <w:t>10,5</w:t>
            </w:r>
          </w:p>
        </w:tc>
        <w:tc>
          <w:tcPr>
            <w:tcW w:w="993" w:type="dxa"/>
            <w:vAlign w:val="center"/>
          </w:tcPr>
          <w:p w:rsidR="00E70971" w:rsidRPr="004051FF" w:rsidRDefault="00E70971" w:rsidP="008F5502">
            <w:pPr>
              <w:widowControl w:val="0"/>
              <w:autoSpaceDE w:val="0"/>
              <w:autoSpaceDN w:val="0"/>
              <w:adjustRightInd w:val="0"/>
              <w:ind w:firstLine="0"/>
              <w:jc w:val="center"/>
              <w:rPr>
                <w:color w:val="000000"/>
              </w:rPr>
            </w:pPr>
            <w:r w:rsidRPr="004051FF">
              <w:rPr>
                <w:color w:val="000000"/>
              </w:rPr>
              <w:t>13,8</w:t>
            </w:r>
          </w:p>
        </w:tc>
        <w:tc>
          <w:tcPr>
            <w:tcW w:w="850" w:type="dxa"/>
            <w:vAlign w:val="center"/>
          </w:tcPr>
          <w:p w:rsidR="00E70971" w:rsidRPr="004051FF" w:rsidRDefault="00E70971" w:rsidP="008F5502">
            <w:pPr>
              <w:widowControl w:val="0"/>
              <w:autoSpaceDE w:val="0"/>
              <w:autoSpaceDN w:val="0"/>
              <w:adjustRightInd w:val="0"/>
              <w:ind w:firstLine="0"/>
              <w:jc w:val="center"/>
              <w:rPr>
                <w:color w:val="000000"/>
              </w:rPr>
            </w:pPr>
            <w:r w:rsidRPr="004051FF">
              <w:rPr>
                <w:color w:val="000000"/>
              </w:rPr>
              <w:t>10,5</w:t>
            </w:r>
          </w:p>
        </w:tc>
      </w:tr>
      <w:tr w:rsidR="00E70971" w:rsidRPr="004051FF" w:rsidTr="008F5502">
        <w:trPr>
          <w:jc w:val="center"/>
        </w:trPr>
        <w:tc>
          <w:tcPr>
            <w:tcW w:w="4112" w:type="dxa"/>
          </w:tcPr>
          <w:p w:rsidR="00E70971" w:rsidRPr="00C61635" w:rsidRDefault="00E70971" w:rsidP="008F5502">
            <w:pPr>
              <w:pStyle w:val="1"/>
              <w:widowControl w:val="0"/>
              <w:tabs>
                <w:tab w:val="left" w:pos="1134"/>
              </w:tabs>
              <w:jc w:val="both"/>
              <w:rPr>
                <w:color w:val="000000"/>
                <w:sz w:val="24"/>
                <w:szCs w:val="24"/>
                <w:lang w:val="en-US"/>
              </w:rPr>
            </w:pPr>
            <w:r w:rsidRPr="00C61635">
              <w:rPr>
                <w:color w:val="000000"/>
                <w:sz w:val="24"/>
                <w:szCs w:val="24"/>
                <w:lang w:val="en-US"/>
              </w:rPr>
              <w:t>Existence of social package (the place in kindergarten, sanatorium treatment, payment of "sick-list", etc.)</w:t>
            </w:r>
          </w:p>
        </w:tc>
        <w:tc>
          <w:tcPr>
            <w:tcW w:w="1134" w:type="dxa"/>
            <w:vAlign w:val="center"/>
          </w:tcPr>
          <w:p w:rsidR="00E70971" w:rsidRPr="004051FF" w:rsidRDefault="00E70971" w:rsidP="008F5502">
            <w:pPr>
              <w:widowControl w:val="0"/>
              <w:autoSpaceDE w:val="0"/>
              <w:autoSpaceDN w:val="0"/>
              <w:adjustRightInd w:val="0"/>
              <w:ind w:firstLine="0"/>
              <w:jc w:val="center"/>
              <w:rPr>
                <w:color w:val="000000"/>
              </w:rPr>
            </w:pPr>
            <w:r w:rsidRPr="004051FF">
              <w:rPr>
                <w:color w:val="000000"/>
              </w:rPr>
              <w:t>19,9</w:t>
            </w:r>
          </w:p>
        </w:tc>
        <w:tc>
          <w:tcPr>
            <w:tcW w:w="850" w:type="dxa"/>
            <w:vAlign w:val="center"/>
          </w:tcPr>
          <w:p w:rsidR="00E70971" w:rsidRPr="004051FF" w:rsidRDefault="00E70971" w:rsidP="008F5502">
            <w:pPr>
              <w:ind w:firstLine="0"/>
              <w:jc w:val="center"/>
              <w:rPr>
                <w:color w:val="000000"/>
              </w:rPr>
            </w:pPr>
            <w:r w:rsidRPr="004051FF">
              <w:rPr>
                <w:color w:val="000000"/>
              </w:rPr>
              <w:t>21</w:t>
            </w:r>
          </w:p>
        </w:tc>
        <w:tc>
          <w:tcPr>
            <w:tcW w:w="992" w:type="dxa"/>
            <w:vAlign w:val="center"/>
          </w:tcPr>
          <w:p w:rsidR="00E70971" w:rsidRPr="004051FF" w:rsidRDefault="00E70971" w:rsidP="008F5502">
            <w:pPr>
              <w:widowControl w:val="0"/>
              <w:autoSpaceDE w:val="0"/>
              <w:autoSpaceDN w:val="0"/>
              <w:adjustRightInd w:val="0"/>
              <w:ind w:firstLine="0"/>
              <w:jc w:val="center"/>
              <w:rPr>
                <w:color w:val="000000"/>
              </w:rPr>
            </w:pPr>
            <w:r w:rsidRPr="004051FF">
              <w:rPr>
                <w:color w:val="000000"/>
              </w:rPr>
              <w:t>34,8</w:t>
            </w:r>
          </w:p>
        </w:tc>
        <w:tc>
          <w:tcPr>
            <w:tcW w:w="851" w:type="dxa"/>
            <w:vAlign w:val="center"/>
          </w:tcPr>
          <w:p w:rsidR="00E70971" w:rsidRPr="004051FF" w:rsidRDefault="00E70971" w:rsidP="008F5502">
            <w:pPr>
              <w:widowControl w:val="0"/>
              <w:autoSpaceDE w:val="0"/>
              <w:autoSpaceDN w:val="0"/>
              <w:adjustRightInd w:val="0"/>
              <w:ind w:firstLine="0"/>
              <w:jc w:val="center"/>
              <w:rPr>
                <w:color w:val="000000"/>
              </w:rPr>
            </w:pPr>
            <w:r w:rsidRPr="004051FF">
              <w:rPr>
                <w:color w:val="000000"/>
              </w:rPr>
              <w:t>16,3</w:t>
            </w:r>
          </w:p>
        </w:tc>
        <w:tc>
          <w:tcPr>
            <w:tcW w:w="993" w:type="dxa"/>
            <w:vAlign w:val="center"/>
          </w:tcPr>
          <w:p w:rsidR="00E70971" w:rsidRPr="004051FF" w:rsidRDefault="00E70971" w:rsidP="008F5502">
            <w:pPr>
              <w:widowControl w:val="0"/>
              <w:autoSpaceDE w:val="0"/>
              <w:autoSpaceDN w:val="0"/>
              <w:adjustRightInd w:val="0"/>
              <w:ind w:firstLine="0"/>
              <w:jc w:val="center"/>
              <w:rPr>
                <w:color w:val="000000"/>
              </w:rPr>
            </w:pPr>
            <w:r w:rsidRPr="004051FF">
              <w:rPr>
                <w:color w:val="000000"/>
              </w:rPr>
              <w:t>28,7</w:t>
            </w:r>
          </w:p>
        </w:tc>
        <w:tc>
          <w:tcPr>
            <w:tcW w:w="850" w:type="dxa"/>
            <w:vAlign w:val="center"/>
          </w:tcPr>
          <w:p w:rsidR="00E70971" w:rsidRPr="004051FF" w:rsidRDefault="00E70971" w:rsidP="008F5502">
            <w:pPr>
              <w:widowControl w:val="0"/>
              <w:autoSpaceDE w:val="0"/>
              <w:autoSpaceDN w:val="0"/>
              <w:adjustRightInd w:val="0"/>
              <w:ind w:firstLine="0"/>
              <w:jc w:val="center"/>
              <w:rPr>
                <w:color w:val="000000"/>
              </w:rPr>
            </w:pPr>
            <w:r w:rsidRPr="004051FF">
              <w:rPr>
                <w:color w:val="000000"/>
              </w:rPr>
              <w:t>18,6</w:t>
            </w:r>
          </w:p>
        </w:tc>
      </w:tr>
      <w:tr w:rsidR="00E70971" w:rsidRPr="004051FF" w:rsidTr="008F5502">
        <w:trPr>
          <w:jc w:val="center"/>
        </w:trPr>
        <w:tc>
          <w:tcPr>
            <w:tcW w:w="4112" w:type="dxa"/>
          </w:tcPr>
          <w:p w:rsidR="00E70971" w:rsidRPr="00C61635" w:rsidRDefault="00E70971" w:rsidP="008F5502">
            <w:pPr>
              <w:pStyle w:val="1"/>
              <w:widowControl w:val="0"/>
              <w:tabs>
                <w:tab w:val="left" w:pos="1134"/>
              </w:tabs>
              <w:rPr>
                <w:color w:val="000000"/>
                <w:sz w:val="24"/>
                <w:szCs w:val="24"/>
                <w:lang w:val="en-US"/>
              </w:rPr>
            </w:pPr>
            <w:r w:rsidRPr="00C61635">
              <w:rPr>
                <w:color w:val="000000"/>
                <w:sz w:val="24"/>
                <w:szCs w:val="24"/>
                <w:lang w:val="en-US"/>
              </w:rPr>
              <w:t>I find it difficult to answer</w:t>
            </w:r>
          </w:p>
        </w:tc>
        <w:tc>
          <w:tcPr>
            <w:tcW w:w="1134" w:type="dxa"/>
            <w:vAlign w:val="center"/>
          </w:tcPr>
          <w:p w:rsidR="00E70971" w:rsidRPr="004051FF" w:rsidRDefault="00E70971" w:rsidP="008F5502">
            <w:pPr>
              <w:widowControl w:val="0"/>
              <w:autoSpaceDE w:val="0"/>
              <w:autoSpaceDN w:val="0"/>
              <w:adjustRightInd w:val="0"/>
              <w:ind w:firstLine="0"/>
              <w:jc w:val="center"/>
              <w:rPr>
                <w:color w:val="000000"/>
              </w:rPr>
            </w:pPr>
            <w:r w:rsidRPr="004051FF">
              <w:rPr>
                <w:color w:val="000000"/>
              </w:rPr>
              <w:t>10,3</w:t>
            </w:r>
          </w:p>
        </w:tc>
        <w:tc>
          <w:tcPr>
            <w:tcW w:w="850" w:type="dxa"/>
            <w:vAlign w:val="center"/>
          </w:tcPr>
          <w:p w:rsidR="00E70971" w:rsidRPr="004051FF" w:rsidRDefault="00E70971" w:rsidP="008F5502">
            <w:pPr>
              <w:ind w:firstLine="0"/>
              <w:jc w:val="center"/>
              <w:rPr>
                <w:color w:val="000000"/>
              </w:rPr>
            </w:pPr>
            <w:r w:rsidRPr="004051FF">
              <w:rPr>
                <w:color w:val="000000"/>
              </w:rPr>
              <w:t>8,1</w:t>
            </w:r>
          </w:p>
        </w:tc>
        <w:tc>
          <w:tcPr>
            <w:tcW w:w="992" w:type="dxa"/>
            <w:vAlign w:val="center"/>
          </w:tcPr>
          <w:p w:rsidR="00E70971" w:rsidRPr="004051FF" w:rsidRDefault="00E70971" w:rsidP="008F5502">
            <w:pPr>
              <w:widowControl w:val="0"/>
              <w:autoSpaceDE w:val="0"/>
              <w:autoSpaceDN w:val="0"/>
              <w:adjustRightInd w:val="0"/>
              <w:ind w:firstLine="0"/>
              <w:jc w:val="center"/>
              <w:rPr>
                <w:color w:val="000000"/>
              </w:rPr>
            </w:pPr>
            <w:r w:rsidRPr="004051FF">
              <w:rPr>
                <w:color w:val="000000"/>
              </w:rPr>
              <w:t>5,2</w:t>
            </w:r>
          </w:p>
        </w:tc>
        <w:tc>
          <w:tcPr>
            <w:tcW w:w="851" w:type="dxa"/>
            <w:vAlign w:val="center"/>
          </w:tcPr>
          <w:p w:rsidR="00E70971" w:rsidRPr="004051FF" w:rsidRDefault="00E70971" w:rsidP="008F5502">
            <w:pPr>
              <w:widowControl w:val="0"/>
              <w:autoSpaceDE w:val="0"/>
              <w:autoSpaceDN w:val="0"/>
              <w:adjustRightInd w:val="0"/>
              <w:ind w:firstLine="0"/>
              <w:jc w:val="center"/>
              <w:rPr>
                <w:color w:val="000000"/>
              </w:rPr>
            </w:pPr>
            <w:r w:rsidRPr="004051FF">
              <w:rPr>
                <w:color w:val="000000"/>
              </w:rPr>
              <w:t>7</w:t>
            </w:r>
          </w:p>
        </w:tc>
        <w:tc>
          <w:tcPr>
            <w:tcW w:w="993" w:type="dxa"/>
            <w:vAlign w:val="center"/>
          </w:tcPr>
          <w:p w:rsidR="00E70971" w:rsidRPr="004051FF" w:rsidRDefault="00E70971" w:rsidP="008F5502">
            <w:pPr>
              <w:widowControl w:val="0"/>
              <w:autoSpaceDE w:val="0"/>
              <w:autoSpaceDN w:val="0"/>
              <w:adjustRightInd w:val="0"/>
              <w:ind w:firstLine="0"/>
              <w:jc w:val="center"/>
              <w:rPr>
                <w:color w:val="000000"/>
              </w:rPr>
            </w:pPr>
            <w:r w:rsidRPr="004051FF">
              <w:rPr>
                <w:color w:val="000000"/>
              </w:rPr>
              <w:t>7,3</w:t>
            </w:r>
          </w:p>
        </w:tc>
        <w:tc>
          <w:tcPr>
            <w:tcW w:w="850" w:type="dxa"/>
            <w:vAlign w:val="center"/>
          </w:tcPr>
          <w:p w:rsidR="00E70971" w:rsidRPr="004051FF" w:rsidRDefault="00E70971" w:rsidP="008F5502">
            <w:pPr>
              <w:widowControl w:val="0"/>
              <w:autoSpaceDE w:val="0"/>
              <w:autoSpaceDN w:val="0"/>
              <w:adjustRightInd w:val="0"/>
              <w:ind w:firstLine="0"/>
              <w:jc w:val="center"/>
              <w:rPr>
                <w:color w:val="000000"/>
              </w:rPr>
            </w:pPr>
            <w:r w:rsidRPr="004051FF">
              <w:rPr>
                <w:color w:val="000000"/>
              </w:rPr>
              <w:t>7,5</w:t>
            </w:r>
          </w:p>
        </w:tc>
      </w:tr>
    </w:tbl>
    <w:p w:rsidR="00E70971" w:rsidRPr="00301457" w:rsidRDefault="00E70971" w:rsidP="003C5D0E">
      <w:pPr>
        <w:ind w:firstLine="709"/>
        <w:jc w:val="both"/>
        <w:rPr>
          <w:i/>
          <w:sz w:val="28"/>
          <w:szCs w:val="28"/>
          <w:lang w:val="en-US"/>
        </w:rPr>
      </w:pPr>
      <w:r w:rsidRPr="00301457">
        <w:rPr>
          <w:i/>
          <w:sz w:val="28"/>
          <w:szCs w:val="28"/>
          <w:lang w:val="en-US"/>
        </w:rPr>
        <w:t>Source: it is calculated and made by the author.</w:t>
      </w:r>
    </w:p>
    <w:p w:rsidR="00E70971" w:rsidRPr="003C5D0E" w:rsidRDefault="00E70971" w:rsidP="00CC32E9">
      <w:pPr>
        <w:spacing w:after="0"/>
        <w:ind w:firstLine="709"/>
        <w:jc w:val="both"/>
        <w:rPr>
          <w:sz w:val="28"/>
          <w:szCs w:val="28"/>
          <w:lang w:val="en-US"/>
        </w:rPr>
      </w:pPr>
      <w:r w:rsidRPr="003C5D0E">
        <w:rPr>
          <w:sz w:val="28"/>
          <w:szCs w:val="28"/>
          <w:lang w:val="en-US"/>
        </w:rPr>
        <w:t xml:space="preserve">Data of </w:t>
      </w:r>
      <w:r>
        <w:rPr>
          <w:sz w:val="28"/>
          <w:szCs w:val="28"/>
          <w:lang w:val="en-US"/>
        </w:rPr>
        <w:t xml:space="preserve">a </w:t>
      </w:r>
      <w:r w:rsidRPr="003C5D0E">
        <w:rPr>
          <w:sz w:val="28"/>
          <w:szCs w:val="28"/>
          <w:lang w:val="en-US"/>
        </w:rPr>
        <w:t xml:space="preserve">poll have shown that the factor "free education" dominated at the choice of future professional activity at four of ten (41,7%) respondents. Comparing received results to </w:t>
      </w:r>
      <w:r>
        <w:rPr>
          <w:sz w:val="28"/>
          <w:szCs w:val="28"/>
          <w:lang w:val="en-US"/>
        </w:rPr>
        <w:t xml:space="preserve">the </w:t>
      </w:r>
      <w:r w:rsidRPr="003C5D0E">
        <w:rPr>
          <w:sz w:val="28"/>
          <w:szCs w:val="28"/>
          <w:lang w:val="en-US"/>
        </w:rPr>
        <w:t>answers to a question: "In what degree you connect education in technical school (</w:t>
      </w:r>
      <w:r>
        <w:rPr>
          <w:sz w:val="28"/>
          <w:szCs w:val="28"/>
          <w:lang w:val="en-US"/>
        </w:rPr>
        <w:t xml:space="preserve">vocational </w:t>
      </w:r>
      <w:r w:rsidRPr="003C5D0E">
        <w:rPr>
          <w:sz w:val="28"/>
          <w:szCs w:val="28"/>
          <w:lang w:val="en-US"/>
        </w:rPr>
        <w:t xml:space="preserve">school) with </w:t>
      </w:r>
      <w:r>
        <w:rPr>
          <w:sz w:val="28"/>
          <w:szCs w:val="28"/>
          <w:lang w:val="en-US"/>
        </w:rPr>
        <w:t xml:space="preserve">the </w:t>
      </w:r>
      <w:r w:rsidRPr="003C5D0E">
        <w:rPr>
          <w:sz w:val="28"/>
          <w:szCs w:val="28"/>
          <w:lang w:val="en-US"/>
        </w:rPr>
        <w:t xml:space="preserve">future profession?", – it has turned out that the share of </w:t>
      </w:r>
      <w:r>
        <w:rPr>
          <w:sz w:val="28"/>
          <w:szCs w:val="28"/>
          <w:lang w:val="en-US"/>
        </w:rPr>
        <w:t>students</w:t>
      </w:r>
      <w:r w:rsidRPr="003C5D0E">
        <w:rPr>
          <w:sz w:val="28"/>
          <w:szCs w:val="28"/>
          <w:lang w:val="en-US"/>
        </w:rPr>
        <w:t xml:space="preserve"> planning "to work in the specialty only in </w:t>
      </w:r>
      <w:r>
        <w:rPr>
          <w:sz w:val="28"/>
          <w:szCs w:val="28"/>
          <w:lang w:val="en-US"/>
        </w:rPr>
        <w:t xml:space="preserve">the </w:t>
      </w:r>
      <w:r w:rsidRPr="003C5D0E">
        <w:rPr>
          <w:sz w:val="28"/>
          <w:szCs w:val="28"/>
          <w:lang w:val="en-US"/>
        </w:rPr>
        <w:t xml:space="preserve">urgent cases" has increased in relation to 2012 by 8% and have made 31% of </w:t>
      </w:r>
      <w:r>
        <w:rPr>
          <w:sz w:val="28"/>
          <w:szCs w:val="28"/>
          <w:lang w:val="en-US"/>
        </w:rPr>
        <w:t xml:space="preserve">the </w:t>
      </w:r>
      <w:r w:rsidRPr="003C5D0E">
        <w:rPr>
          <w:sz w:val="28"/>
          <w:szCs w:val="28"/>
          <w:lang w:val="en-US"/>
        </w:rPr>
        <w:t xml:space="preserve">number of respondents and if to consider a share of those who are at a loss with the answer then it will turn out that about a half of the interrogated </w:t>
      </w:r>
      <w:r>
        <w:rPr>
          <w:sz w:val="28"/>
          <w:szCs w:val="28"/>
          <w:lang w:val="en-US"/>
        </w:rPr>
        <w:t>students</w:t>
      </w:r>
      <w:r w:rsidRPr="003C5D0E">
        <w:rPr>
          <w:sz w:val="28"/>
          <w:szCs w:val="28"/>
          <w:lang w:val="en-US"/>
        </w:rPr>
        <w:t xml:space="preserve"> of the </w:t>
      </w:r>
      <w:r>
        <w:rPr>
          <w:sz w:val="28"/>
          <w:szCs w:val="28"/>
          <w:lang w:val="en-US"/>
        </w:rPr>
        <w:t>secondary</w:t>
      </w:r>
      <w:r w:rsidRPr="003C5D0E">
        <w:rPr>
          <w:sz w:val="28"/>
          <w:szCs w:val="28"/>
          <w:lang w:val="en-US"/>
        </w:rPr>
        <w:t xml:space="preserve"> professional organizations (47% of number of respondents) aren't going to work on the chosen specialty, however, at the same time getting free education, accommodation in the hostel, grant, other straight and indirect material remunerations from the state.</w:t>
      </w:r>
    </w:p>
    <w:p w:rsidR="00E70971" w:rsidRPr="003C5D0E" w:rsidRDefault="00E70971" w:rsidP="00CC32E9">
      <w:pPr>
        <w:spacing w:after="0"/>
        <w:ind w:firstLine="709"/>
        <w:jc w:val="both"/>
        <w:rPr>
          <w:sz w:val="28"/>
          <w:szCs w:val="28"/>
          <w:lang w:val="en-US"/>
        </w:rPr>
      </w:pPr>
      <w:r w:rsidRPr="003C5D0E">
        <w:rPr>
          <w:sz w:val="28"/>
          <w:szCs w:val="28"/>
          <w:lang w:val="en-US"/>
        </w:rPr>
        <w:t xml:space="preserve">Interest in a profession takes the second place in a rating of motives of the choice and makes a share of 39,8% of </w:t>
      </w:r>
      <w:r>
        <w:rPr>
          <w:sz w:val="28"/>
          <w:szCs w:val="28"/>
          <w:lang w:val="en-US"/>
        </w:rPr>
        <w:t xml:space="preserve">the </w:t>
      </w:r>
      <w:r w:rsidRPr="003C5D0E">
        <w:rPr>
          <w:sz w:val="28"/>
          <w:szCs w:val="28"/>
          <w:lang w:val="en-US"/>
        </w:rPr>
        <w:t xml:space="preserve">total number of respondents. At the same time, the unambiguous desire to find a job by profession, despite the interest, was expressed by only the fifth part (21%) of </w:t>
      </w:r>
      <w:r>
        <w:rPr>
          <w:sz w:val="28"/>
          <w:szCs w:val="28"/>
          <w:lang w:val="en-US"/>
        </w:rPr>
        <w:t xml:space="preserve">the </w:t>
      </w:r>
      <w:r w:rsidRPr="003C5D0E">
        <w:rPr>
          <w:sz w:val="28"/>
          <w:szCs w:val="28"/>
          <w:lang w:val="en-US"/>
        </w:rPr>
        <w:t xml:space="preserve">total number of </w:t>
      </w:r>
      <w:r>
        <w:rPr>
          <w:sz w:val="28"/>
          <w:szCs w:val="28"/>
          <w:lang w:val="en-US"/>
        </w:rPr>
        <w:t>students</w:t>
      </w:r>
      <w:r w:rsidRPr="003C5D0E">
        <w:rPr>
          <w:sz w:val="28"/>
          <w:szCs w:val="28"/>
          <w:lang w:val="en-US"/>
        </w:rPr>
        <w:t xml:space="preserve">. </w:t>
      </w:r>
    </w:p>
    <w:p w:rsidR="00E70971" w:rsidRDefault="00E70971" w:rsidP="00CC32E9">
      <w:pPr>
        <w:spacing w:after="0"/>
        <w:ind w:firstLine="709"/>
        <w:jc w:val="both"/>
        <w:rPr>
          <w:sz w:val="28"/>
          <w:szCs w:val="28"/>
          <w:lang w:val="en-US"/>
        </w:rPr>
      </w:pPr>
      <w:r w:rsidRPr="003C5D0E">
        <w:rPr>
          <w:sz w:val="28"/>
          <w:szCs w:val="28"/>
          <w:lang w:val="en-US"/>
        </w:rPr>
        <w:t xml:space="preserve">The received hierarchy of factors on degree of their importance shows that at the choice of working profession a significant role was played by the immediate social environment of the respondent: family, relatives, acquaintances. Traditionally this factor notes a third (29,8%) of the interrogated </w:t>
      </w:r>
      <w:r>
        <w:rPr>
          <w:sz w:val="28"/>
          <w:szCs w:val="28"/>
          <w:lang w:val="en-US"/>
        </w:rPr>
        <w:t>students</w:t>
      </w:r>
      <w:r w:rsidRPr="003C5D0E">
        <w:rPr>
          <w:sz w:val="28"/>
          <w:szCs w:val="28"/>
          <w:lang w:val="en-US"/>
        </w:rPr>
        <w:t xml:space="preserve">. The developed opinion in </w:t>
      </w:r>
      <w:r>
        <w:rPr>
          <w:sz w:val="28"/>
          <w:szCs w:val="28"/>
          <w:lang w:val="en-US"/>
        </w:rPr>
        <w:t xml:space="preserve">the </w:t>
      </w:r>
      <w:r w:rsidRPr="003C5D0E">
        <w:rPr>
          <w:sz w:val="28"/>
          <w:szCs w:val="28"/>
          <w:lang w:val="en-US"/>
        </w:rPr>
        <w:t xml:space="preserve">society on </w:t>
      </w:r>
      <w:r>
        <w:rPr>
          <w:sz w:val="28"/>
          <w:szCs w:val="28"/>
          <w:lang w:val="en-US"/>
        </w:rPr>
        <w:t xml:space="preserve">the </w:t>
      </w:r>
      <w:r w:rsidRPr="003C5D0E">
        <w:rPr>
          <w:sz w:val="28"/>
          <w:szCs w:val="28"/>
          <w:lang w:val="en-US"/>
        </w:rPr>
        <w:t>low resource supply, hard and dirty work of the working person has led to falling of prestig</w:t>
      </w:r>
      <w:r>
        <w:rPr>
          <w:sz w:val="28"/>
          <w:szCs w:val="28"/>
          <w:lang w:val="en-US"/>
        </w:rPr>
        <w:t>e</w:t>
      </w:r>
      <w:r w:rsidRPr="003C5D0E">
        <w:rPr>
          <w:sz w:val="28"/>
          <w:szCs w:val="28"/>
          <w:lang w:val="en-US"/>
        </w:rPr>
        <w:t xml:space="preserve"> of working professions among </w:t>
      </w:r>
      <w:r>
        <w:rPr>
          <w:sz w:val="28"/>
          <w:szCs w:val="28"/>
          <w:lang w:val="en-US"/>
        </w:rPr>
        <w:t xml:space="preserve">the </w:t>
      </w:r>
      <w:r w:rsidRPr="003C5D0E">
        <w:rPr>
          <w:sz w:val="28"/>
          <w:szCs w:val="28"/>
          <w:lang w:val="en-US"/>
        </w:rPr>
        <w:t xml:space="preserve">adult population and interferes with </w:t>
      </w:r>
      <w:r>
        <w:rPr>
          <w:sz w:val="28"/>
          <w:szCs w:val="28"/>
          <w:lang w:val="en-US"/>
        </w:rPr>
        <w:t>the appearing</w:t>
      </w:r>
      <w:r w:rsidRPr="003C5D0E">
        <w:rPr>
          <w:sz w:val="28"/>
          <w:szCs w:val="28"/>
          <w:lang w:val="en-US"/>
        </w:rPr>
        <w:t xml:space="preserve"> of positive motivation to this </w:t>
      </w:r>
      <w:r w:rsidRPr="003C5D0E">
        <w:rPr>
          <w:sz w:val="28"/>
          <w:szCs w:val="28"/>
          <w:lang w:val="en-US"/>
        </w:rPr>
        <w:lastRenderedPageBreak/>
        <w:t xml:space="preserve">work among </w:t>
      </w:r>
      <w:r>
        <w:rPr>
          <w:sz w:val="28"/>
          <w:szCs w:val="28"/>
          <w:lang w:val="en-US"/>
        </w:rPr>
        <w:t xml:space="preserve">the </w:t>
      </w:r>
      <w:r w:rsidRPr="003C5D0E">
        <w:rPr>
          <w:sz w:val="28"/>
          <w:szCs w:val="28"/>
          <w:lang w:val="en-US"/>
        </w:rPr>
        <w:t xml:space="preserve">young people. It is fixed by </w:t>
      </w:r>
      <w:r>
        <w:rPr>
          <w:sz w:val="28"/>
          <w:szCs w:val="28"/>
          <w:lang w:val="en-US"/>
        </w:rPr>
        <w:t xml:space="preserve">the </w:t>
      </w:r>
      <w:r w:rsidRPr="003C5D0E">
        <w:rPr>
          <w:sz w:val="28"/>
          <w:szCs w:val="28"/>
          <w:lang w:val="en-US"/>
        </w:rPr>
        <w:t>sociological researches</w:t>
      </w:r>
      <w:r>
        <w:rPr>
          <w:rStyle w:val="a7"/>
          <w:sz w:val="28"/>
          <w:szCs w:val="28"/>
          <w:lang w:val="en-US"/>
        </w:rPr>
        <w:footnoteReference w:id="2"/>
      </w:r>
      <w:r w:rsidRPr="003C5D0E">
        <w:rPr>
          <w:sz w:val="28"/>
          <w:szCs w:val="28"/>
          <w:lang w:val="en-US"/>
        </w:rPr>
        <w:t xml:space="preserve"> (D.L. Konstantinovsk</w:t>
      </w:r>
      <w:r>
        <w:rPr>
          <w:sz w:val="28"/>
          <w:szCs w:val="28"/>
          <w:lang w:val="en-US"/>
        </w:rPr>
        <w:t>i</w:t>
      </w:r>
      <w:r w:rsidRPr="003C5D0E">
        <w:rPr>
          <w:sz w:val="28"/>
          <w:szCs w:val="28"/>
          <w:lang w:val="en-US"/>
        </w:rPr>
        <w:t xml:space="preserve">y, G.A. Cherednichenko, E.D. Voznesenskaya) and unanimously admits </w:t>
      </w:r>
      <w:r>
        <w:rPr>
          <w:sz w:val="28"/>
          <w:szCs w:val="28"/>
          <w:lang w:val="en-US"/>
        </w:rPr>
        <w:t xml:space="preserve">by the </w:t>
      </w:r>
      <w:r w:rsidRPr="003C5D0E">
        <w:rPr>
          <w:sz w:val="28"/>
          <w:szCs w:val="28"/>
          <w:lang w:val="en-US"/>
        </w:rPr>
        <w:t xml:space="preserve">experts as one of the most important reasons of </w:t>
      </w:r>
      <w:r>
        <w:rPr>
          <w:sz w:val="28"/>
          <w:szCs w:val="28"/>
          <w:lang w:val="en-US"/>
        </w:rPr>
        <w:t xml:space="preserve">the </w:t>
      </w:r>
      <w:r w:rsidRPr="003C5D0E">
        <w:rPr>
          <w:sz w:val="28"/>
          <w:szCs w:val="28"/>
          <w:lang w:val="en-US"/>
        </w:rPr>
        <w:t>crisis of working profession, deficiency of the qualified labor.</w:t>
      </w:r>
    </w:p>
    <w:p w:rsidR="00E70971" w:rsidRDefault="00E70971" w:rsidP="00CC32E9">
      <w:pPr>
        <w:spacing w:after="0"/>
        <w:ind w:firstLine="709"/>
        <w:jc w:val="both"/>
        <w:rPr>
          <w:sz w:val="28"/>
          <w:szCs w:val="28"/>
          <w:lang w:val="en-US"/>
        </w:rPr>
      </w:pPr>
      <w:r w:rsidRPr="003C5D0E">
        <w:rPr>
          <w:sz w:val="28"/>
          <w:szCs w:val="28"/>
          <w:lang w:val="en-US"/>
        </w:rPr>
        <w:t xml:space="preserve">The salary also enters a rating of the dominating factors of choice of </w:t>
      </w:r>
      <w:r>
        <w:rPr>
          <w:sz w:val="28"/>
          <w:szCs w:val="28"/>
          <w:lang w:val="en-US"/>
        </w:rPr>
        <w:t xml:space="preserve">the </w:t>
      </w:r>
      <w:r w:rsidRPr="003C5D0E">
        <w:rPr>
          <w:sz w:val="28"/>
          <w:szCs w:val="28"/>
          <w:lang w:val="en-US"/>
        </w:rPr>
        <w:t xml:space="preserve">profession. 17,7% of total number of the interrogated </w:t>
      </w:r>
      <w:r>
        <w:rPr>
          <w:sz w:val="28"/>
          <w:szCs w:val="28"/>
          <w:lang w:val="en-US"/>
        </w:rPr>
        <w:t>students</w:t>
      </w:r>
      <w:r w:rsidRPr="003C5D0E">
        <w:rPr>
          <w:sz w:val="28"/>
          <w:szCs w:val="28"/>
          <w:lang w:val="en-US"/>
        </w:rPr>
        <w:t xml:space="preserve"> were guided by </w:t>
      </w:r>
      <w:r>
        <w:rPr>
          <w:sz w:val="28"/>
          <w:szCs w:val="28"/>
          <w:lang w:val="en-US"/>
        </w:rPr>
        <w:t xml:space="preserve">the </w:t>
      </w:r>
      <w:r w:rsidRPr="003C5D0E">
        <w:rPr>
          <w:sz w:val="28"/>
          <w:szCs w:val="28"/>
          <w:lang w:val="en-US"/>
        </w:rPr>
        <w:t xml:space="preserve">motive of high earnings. The material factor traditionally is one of </w:t>
      </w:r>
      <w:r>
        <w:rPr>
          <w:sz w:val="28"/>
          <w:szCs w:val="28"/>
          <w:lang w:val="en-US"/>
        </w:rPr>
        <w:t xml:space="preserve">the </w:t>
      </w:r>
      <w:r w:rsidRPr="003C5D0E">
        <w:rPr>
          <w:sz w:val="28"/>
          <w:szCs w:val="28"/>
          <w:lang w:val="en-US"/>
        </w:rPr>
        <w:t xml:space="preserve">leaders at </w:t>
      </w:r>
      <w:r>
        <w:rPr>
          <w:sz w:val="28"/>
          <w:szCs w:val="28"/>
          <w:lang w:val="en-US"/>
        </w:rPr>
        <w:t xml:space="preserve">a </w:t>
      </w:r>
      <w:r w:rsidRPr="003C5D0E">
        <w:rPr>
          <w:sz w:val="28"/>
          <w:szCs w:val="28"/>
          <w:lang w:val="en-US"/>
        </w:rPr>
        <w:t xml:space="preserve">choice of profession that at this age is explained by </w:t>
      </w:r>
      <w:r>
        <w:rPr>
          <w:sz w:val="28"/>
          <w:szCs w:val="28"/>
          <w:lang w:val="en-US"/>
        </w:rPr>
        <w:t xml:space="preserve">a </w:t>
      </w:r>
      <w:r w:rsidRPr="003C5D0E">
        <w:rPr>
          <w:sz w:val="28"/>
          <w:szCs w:val="28"/>
          <w:lang w:val="en-US"/>
        </w:rPr>
        <w:t xml:space="preserve">desire to become independent. At the same time, the level of material prosperity of </w:t>
      </w:r>
      <w:r>
        <w:rPr>
          <w:sz w:val="28"/>
          <w:szCs w:val="28"/>
          <w:lang w:val="en-US"/>
        </w:rPr>
        <w:t xml:space="preserve">the </w:t>
      </w:r>
      <w:r w:rsidRPr="003C5D0E">
        <w:rPr>
          <w:sz w:val="28"/>
          <w:szCs w:val="28"/>
          <w:lang w:val="en-US"/>
        </w:rPr>
        <w:t xml:space="preserve">families of </w:t>
      </w:r>
      <w:r>
        <w:rPr>
          <w:sz w:val="28"/>
          <w:szCs w:val="28"/>
          <w:lang w:val="en-US"/>
        </w:rPr>
        <w:t>students</w:t>
      </w:r>
      <w:r w:rsidRPr="003C5D0E">
        <w:rPr>
          <w:sz w:val="28"/>
          <w:szCs w:val="28"/>
          <w:lang w:val="en-US"/>
        </w:rPr>
        <w:t xml:space="preserve"> which in the majority belong to </w:t>
      </w:r>
      <w:r>
        <w:rPr>
          <w:sz w:val="28"/>
          <w:szCs w:val="28"/>
          <w:lang w:val="en-US"/>
        </w:rPr>
        <w:t xml:space="preserve">the </w:t>
      </w:r>
      <w:r w:rsidRPr="003C5D0E">
        <w:rPr>
          <w:sz w:val="28"/>
          <w:szCs w:val="28"/>
          <w:lang w:val="en-US"/>
        </w:rPr>
        <w:t xml:space="preserve">least well-to-do of the population stimulates young people to </w:t>
      </w:r>
      <w:r>
        <w:rPr>
          <w:sz w:val="28"/>
          <w:szCs w:val="28"/>
          <w:lang w:val="en-US"/>
        </w:rPr>
        <w:t xml:space="preserve">the </w:t>
      </w:r>
      <w:r w:rsidRPr="003C5D0E">
        <w:rPr>
          <w:sz w:val="28"/>
          <w:szCs w:val="28"/>
          <w:lang w:val="en-US"/>
        </w:rPr>
        <w:t xml:space="preserve">fast employment, earning of </w:t>
      </w:r>
      <w:r>
        <w:rPr>
          <w:sz w:val="28"/>
          <w:szCs w:val="28"/>
          <w:lang w:val="en-US"/>
        </w:rPr>
        <w:t xml:space="preserve">the </w:t>
      </w:r>
      <w:r w:rsidRPr="003C5D0E">
        <w:rPr>
          <w:sz w:val="28"/>
          <w:szCs w:val="28"/>
          <w:lang w:val="en-US"/>
        </w:rPr>
        <w:t xml:space="preserve">own money. It should be noted that the material </w:t>
      </w:r>
      <w:r>
        <w:rPr>
          <w:sz w:val="28"/>
          <w:szCs w:val="28"/>
          <w:lang w:val="en-US"/>
        </w:rPr>
        <w:t>question</w:t>
      </w:r>
      <w:r w:rsidRPr="003C5D0E">
        <w:rPr>
          <w:sz w:val="28"/>
          <w:szCs w:val="28"/>
          <w:lang w:val="en-US"/>
        </w:rPr>
        <w:t xml:space="preserve"> is resolved also through </w:t>
      </w:r>
      <w:r>
        <w:rPr>
          <w:sz w:val="28"/>
          <w:szCs w:val="28"/>
          <w:lang w:val="en-US"/>
        </w:rPr>
        <w:t xml:space="preserve">the </w:t>
      </w:r>
      <w:r w:rsidRPr="003C5D0E">
        <w:rPr>
          <w:sz w:val="28"/>
          <w:szCs w:val="28"/>
          <w:lang w:val="en-US"/>
        </w:rPr>
        <w:t xml:space="preserve">fast employment. This motive is important at </w:t>
      </w:r>
      <w:r>
        <w:rPr>
          <w:sz w:val="28"/>
          <w:szCs w:val="28"/>
          <w:lang w:val="en-US"/>
        </w:rPr>
        <w:t xml:space="preserve">a </w:t>
      </w:r>
      <w:r w:rsidRPr="003C5D0E">
        <w:rPr>
          <w:sz w:val="28"/>
          <w:szCs w:val="28"/>
          <w:lang w:val="en-US"/>
        </w:rPr>
        <w:t xml:space="preserve">choice of profession for 16,4% of the interrogated </w:t>
      </w:r>
      <w:r>
        <w:rPr>
          <w:sz w:val="28"/>
          <w:szCs w:val="28"/>
          <w:lang w:val="en-US"/>
        </w:rPr>
        <w:t>students</w:t>
      </w:r>
      <w:r w:rsidRPr="003C5D0E">
        <w:rPr>
          <w:sz w:val="28"/>
          <w:szCs w:val="28"/>
          <w:lang w:val="en-US"/>
        </w:rPr>
        <w:t xml:space="preserve"> (fig. 2).</w:t>
      </w:r>
    </w:p>
    <w:p w:rsidR="00E70971" w:rsidRDefault="00BE183F" w:rsidP="003C5D0E">
      <w:pPr>
        <w:ind w:firstLine="709"/>
        <w:jc w:val="both"/>
        <w:rPr>
          <w:sz w:val="28"/>
          <w:szCs w:val="28"/>
          <w:lang w:val="en-US"/>
        </w:rPr>
      </w:pPr>
      <w:r>
        <w:rPr>
          <w:noProof/>
          <w:color w:val="000000"/>
          <w:sz w:val="28"/>
          <w:szCs w:val="28"/>
          <w:lang w:eastAsia="ru-RU"/>
        </w:rPr>
        <w:drawing>
          <wp:inline distT="0" distB="0" distL="0" distR="0">
            <wp:extent cx="5080000" cy="3117850"/>
            <wp:effectExtent l="0" t="0" r="0" b="0"/>
            <wp:docPr id="2" name="Объект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C32E9" w:rsidRPr="00CC32E9" w:rsidRDefault="00E70971" w:rsidP="00CC32E9">
      <w:pPr>
        <w:spacing w:after="0"/>
        <w:ind w:firstLine="709"/>
        <w:jc w:val="center"/>
        <w:rPr>
          <w:i/>
          <w:sz w:val="28"/>
          <w:szCs w:val="28"/>
          <w:lang w:val="en-US"/>
        </w:rPr>
      </w:pPr>
      <w:r w:rsidRPr="001F0C97">
        <w:rPr>
          <w:i/>
          <w:sz w:val="28"/>
          <w:szCs w:val="28"/>
          <w:lang w:val="en-US"/>
        </w:rPr>
        <w:t xml:space="preserve">Fig.2. Motives of choice of profession of </w:t>
      </w:r>
      <w:r>
        <w:rPr>
          <w:i/>
          <w:sz w:val="28"/>
          <w:szCs w:val="28"/>
          <w:lang w:val="en-US"/>
        </w:rPr>
        <w:t>the students</w:t>
      </w:r>
      <w:r w:rsidRPr="001F0C97">
        <w:rPr>
          <w:i/>
          <w:sz w:val="28"/>
          <w:szCs w:val="28"/>
          <w:lang w:val="en-US"/>
        </w:rPr>
        <w:t xml:space="preserve"> </w:t>
      </w:r>
    </w:p>
    <w:p w:rsidR="00E70971" w:rsidRDefault="00E70971" w:rsidP="00CC32E9">
      <w:pPr>
        <w:spacing w:after="0"/>
        <w:ind w:firstLine="709"/>
        <w:jc w:val="center"/>
        <w:rPr>
          <w:i/>
          <w:sz w:val="28"/>
          <w:szCs w:val="28"/>
        </w:rPr>
      </w:pPr>
      <w:r w:rsidRPr="001F0C97">
        <w:rPr>
          <w:i/>
          <w:sz w:val="28"/>
          <w:szCs w:val="28"/>
          <w:lang w:val="en-US"/>
        </w:rPr>
        <w:t>(in % of number of respondents)</w:t>
      </w:r>
    </w:p>
    <w:p w:rsidR="00CC32E9" w:rsidRPr="00CC32E9" w:rsidRDefault="00CC32E9" w:rsidP="00CC32E9">
      <w:pPr>
        <w:spacing w:after="0"/>
        <w:ind w:firstLine="709"/>
        <w:jc w:val="center"/>
        <w:rPr>
          <w:i/>
          <w:sz w:val="28"/>
          <w:szCs w:val="28"/>
        </w:rPr>
      </w:pPr>
    </w:p>
    <w:p w:rsidR="00E70971" w:rsidRPr="003C5D0E" w:rsidRDefault="00E70971" w:rsidP="00CC32E9">
      <w:pPr>
        <w:spacing w:after="0"/>
        <w:ind w:firstLine="709"/>
        <w:jc w:val="both"/>
        <w:rPr>
          <w:sz w:val="28"/>
          <w:szCs w:val="28"/>
          <w:lang w:val="en-US"/>
        </w:rPr>
      </w:pPr>
      <w:r w:rsidRPr="003C5D0E">
        <w:rPr>
          <w:sz w:val="28"/>
          <w:szCs w:val="28"/>
          <w:lang w:val="en-US"/>
        </w:rPr>
        <w:t xml:space="preserve">From the point of view of </w:t>
      </w:r>
      <w:r>
        <w:rPr>
          <w:sz w:val="28"/>
          <w:szCs w:val="28"/>
          <w:lang w:val="en-US"/>
        </w:rPr>
        <w:t>students</w:t>
      </w:r>
      <w:r w:rsidRPr="003C5D0E">
        <w:rPr>
          <w:sz w:val="28"/>
          <w:szCs w:val="28"/>
          <w:lang w:val="en-US"/>
        </w:rPr>
        <w:t>, prestig</w:t>
      </w:r>
      <w:r>
        <w:rPr>
          <w:sz w:val="28"/>
          <w:szCs w:val="28"/>
          <w:lang w:val="en-US"/>
        </w:rPr>
        <w:t>e</w:t>
      </w:r>
      <w:r w:rsidRPr="003C5D0E">
        <w:rPr>
          <w:sz w:val="28"/>
          <w:szCs w:val="28"/>
          <w:lang w:val="en-US"/>
        </w:rPr>
        <w:t xml:space="preserve"> of a profession is de</w:t>
      </w:r>
      <w:r>
        <w:rPr>
          <w:sz w:val="28"/>
          <w:szCs w:val="28"/>
          <w:lang w:val="en-US"/>
        </w:rPr>
        <w:t>termined</w:t>
      </w:r>
      <w:r w:rsidRPr="003C5D0E">
        <w:rPr>
          <w:sz w:val="28"/>
          <w:szCs w:val="28"/>
          <w:lang w:val="en-US"/>
        </w:rPr>
        <w:t xml:space="preserve"> by a demand in labor market, salary level, possibility of creation of professional career now. In the</w:t>
      </w:r>
      <w:r>
        <w:rPr>
          <w:sz w:val="28"/>
          <w:szCs w:val="28"/>
          <w:lang w:val="en-US"/>
        </w:rPr>
        <w:t>ir</w:t>
      </w:r>
      <w:r w:rsidRPr="003C5D0E">
        <w:rPr>
          <w:sz w:val="28"/>
          <w:szCs w:val="28"/>
          <w:lang w:val="en-US"/>
        </w:rPr>
        <w:t xml:space="preserve"> opinions they recognize from the fact that </w:t>
      </w:r>
      <w:r>
        <w:rPr>
          <w:sz w:val="28"/>
          <w:szCs w:val="28"/>
          <w:lang w:val="en-US"/>
        </w:rPr>
        <w:t xml:space="preserve">the </w:t>
      </w:r>
      <w:r w:rsidRPr="003C5D0E">
        <w:rPr>
          <w:sz w:val="28"/>
          <w:szCs w:val="28"/>
          <w:lang w:val="en-US"/>
        </w:rPr>
        <w:t xml:space="preserve">work of worker is always demanded and consequently it is prestigious. So consider three quarters of respondents (76%). Approximately the same share of the interrogated graduates </w:t>
      </w:r>
      <w:r w:rsidRPr="003C5D0E">
        <w:rPr>
          <w:sz w:val="28"/>
          <w:szCs w:val="28"/>
          <w:lang w:val="en-US"/>
        </w:rPr>
        <w:lastRenderedPageBreak/>
        <w:t xml:space="preserve">(71,1%) isn't afraid of unemployment. The youth </w:t>
      </w:r>
      <w:r>
        <w:rPr>
          <w:sz w:val="28"/>
          <w:szCs w:val="28"/>
          <w:lang w:val="en-US"/>
        </w:rPr>
        <w:t>considers</w:t>
      </w:r>
      <w:r w:rsidRPr="003C5D0E">
        <w:rPr>
          <w:sz w:val="28"/>
          <w:szCs w:val="28"/>
          <w:lang w:val="en-US"/>
        </w:rPr>
        <w:t xml:space="preserve"> that such professional choice will be able really to provide less expensive and shorter way to </w:t>
      </w:r>
      <w:r>
        <w:rPr>
          <w:sz w:val="28"/>
          <w:szCs w:val="28"/>
          <w:lang w:val="en-US"/>
        </w:rPr>
        <w:t xml:space="preserve">the </w:t>
      </w:r>
      <w:r w:rsidRPr="003C5D0E">
        <w:rPr>
          <w:sz w:val="28"/>
          <w:szCs w:val="28"/>
          <w:lang w:val="en-US"/>
        </w:rPr>
        <w:t xml:space="preserve">achievement of material security, finding of guarantees in </w:t>
      </w:r>
      <w:r>
        <w:rPr>
          <w:sz w:val="28"/>
          <w:szCs w:val="28"/>
          <w:lang w:val="en-US"/>
        </w:rPr>
        <w:t xml:space="preserve">the </w:t>
      </w:r>
      <w:r w:rsidRPr="003C5D0E">
        <w:rPr>
          <w:sz w:val="28"/>
          <w:szCs w:val="28"/>
          <w:lang w:val="en-US"/>
        </w:rPr>
        <w:t xml:space="preserve">labor market, to independence, achievement of maturity. </w:t>
      </w:r>
    </w:p>
    <w:p w:rsidR="00E70971" w:rsidRPr="003C5D0E" w:rsidRDefault="00E70971" w:rsidP="00CC32E9">
      <w:pPr>
        <w:spacing w:after="0"/>
        <w:ind w:firstLine="709"/>
        <w:jc w:val="both"/>
        <w:rPr>
          <w:sz w:val="28"/>
          <w:szCs w:val="28"/>
          <w:lang w:val="en-US"/>
        </w:rPr>
      </w:pPr>
      <w:r w:rsidRPr="003C5D0E">
        <w:rPr>
          <w:sz w:val="28"/>
          <w:szCs w:val="28"/>
          <w:lang w:val="en-US"/>
        </w:rPr>
        <w:t xml:space="preserve">At the same time, they understand that the received profession can't and will highly not be paid as it belongs to </w:t>
      </w:r>
      <w:r>
        <w:rPr>
          <w:sz w:val="28"/>
          <w:szCs w:val="28"/>
          <w:lang w:val="en-US"/>
        </w:rPr>
        <w:t xml:space="preserve">the </w:t>
      </w:r>
      <w:r w:rsidRPr="003C5D0E">
        <w:rPr>
          <w:sz w:val="28"/>
          <w:szCs w:val="28"/>
          <w:lang w:val="en-US"/>
        </w:rPr>
        <w:t xml:space="preserve">low-skilled work. On the other hand, that </w:t>
      </w:r>
      <w:r>
        <w:rPr>
          <w:sz w:val="28"/>
          <w:szCs w:val="28"/>
          <w:lang w:val="en-US"/>
        </w:rPr>
        <w:t xml:space="preserve">the </w:t>
      </w:r>
      <w:r w:rsidRPr="003C5D0E">
        <w:rPr>
          <w:sz w:val="28"/>
          <w:szCs w:val="28"/>
          <w:lang w:val="en-US"/>
        </w:rPr>
        <w:t xml:space="preserve">salary which is promised after the </w:t>
      </w:r>
      <w:r>
        <w:rPr>
          <w:sz w:val="28"/>
          <w:szCs w:val="28"/>
          <w:lang w:val="en-US"/>
        </w:rPr>
        <w:t>graduating</w:t>
      </w:r>
      <w:r w:rsidRPr="003C5D0E">
        <w:rPr>
          <w:sz w:val="28"/>
          <w:szCs w:val="28"/>
          <w:lang w:val="en-US"/>
        </w:rPr>
        <w:t xml:space="preserve"> </w:t>
      </w:r>
      <w:r>
        <w:rPr>
          <w:sz w:val="28"/>
          <w:szCs w:val="28"/>
          <w:lang w:val="en-US"/>
        </w:rPr>
        <w:t xml:space="preserve">from </w:t>
      </w:r>
      <w:r w:rsidRPr="003C5D0E">
        <w:rPr>
          <w:sz w:val="28"/>
          <w:szCs w:val="28"/>
          <w:lang w:val="en-US"/>
        </w:rPr>
        <w:t xml:space="preserve">technical school (school) seems really big. A half of respondents (52%) </w:t>
      </w:r>
      <w:r>
        <w:rPr>
          <w:sz w:val="28"/>
          <w:szCs w:val="28"/>
          <w:lang w:val="en-US"/>
        </w:rPr>
        <w:t>are the</w:t>
      </w:r>
      <w:r w:rsidRPr="003C5D0E">
        <w:rPr>
          <w:sz w:val="28"/>
          <w:szCs w:val="28"/>
          <w:lang w:val="en-US"/>
        </w:rPr>
        <w:t xml:space="preserve"> children from incomplete families, young families</w:t>
      </w:r>
      <w:r>
        <w:rPr>
          <w:sz w:val="28"/>
          <w:szCs w:val="28"/>
          <w:lang w:val="en-US"/>
        </w:rPr>
        <w:t>,</w:t>
      </w:r>
      <w:r w:rsidRPr="003C5D0E">
        <w:rPr>
          <w:sz w:val="28"/>
          <w:szCs w:val="28"/>
          <w:lang w:val="en-US"/>
        </w:rPr>
        <w:t xml:space="preserve"> registered and unregistered, and also orphan children. The most part of respondents belongs to </w:t>
      </w:r>
      <w:r>
        <w:rPr>
          <w:sz w:val="28"/>
          <w:szCs w:val="28"/>
          <w:lang w:val="en-US"/>
        </w:rPr>
        <w:t xml:space="preserve">the </w:t>
      </w:r>
      <w:r w:rsidRPr="003C5D0E">
        <w:rPr>
          <w:sz w:val="28"/>
          <w:szCs w:val="28"/>
          <w:lang w:val="en-US"/>
        </w:rPr>
        <w:t xml:space="preserve">low-resource social group for which fast employment is especially important. High concern in the solution of pressing vital needs by which the youth at the choice of working profession was guided correlates with </w:t>
      </w:r>
      <w:r>
        <w:rPr>
          <w:sz w:val="28"/>
          <w:szCs w:val="28"/>
          <w:lang w:val="en-US"/>
        </w:rPr>
        <w:t xml:space="preserve">the </w:t>
      </w:r>
      <w:r w:rsidRPr="003C5D0E">
        <w:rPr>
          <w:sz w:val="28"/>
          <w:szCs w:val="28"/>
          <w:lang w:val="en-US"/>
        </w:rPr>
        <w:t xml:space="preserve">objective social characteristics of respondents as with </w:t>
      </w:r>
      <w:r>
        <w:rPr>
          <w:sz w:val="28"/>
          <w:szCs w:val="28"/>
          <w:lang w:val="en-US"/>
        </w:rPr>
        <w:t xml:space="preserve">the </w:t>
      </w:r>
      <w:r w:rsidRPr="003C5D0E">
        <w:rPr>
          <w:sz w:val="28"/>
          <w:szCs w:val="28"/>
          <w:lang w:val="en-US"/>
        </w:rPr>
        <w:t xml:space="preserve">low-resource social group. </w:t>
      </w:r>
    </w:p>
    <w:p w:rsidR="00E70971" w:rsidRPr="003C5D0E" w:rsidRDefault="00E70971" w:rsidP="00CC32E9">
      <w:pPr>
        <w:spacing w:after="0"/>
        <w:ind w:firstLine="709"/>
        <w:jc w:val="both"/>
        <w:rPr>
          <w:sz w:val="28"/>
          <w:szCs w:val="28"/>
          <w:lang w:val="en-US"/>
        </w:rPr>
      </w:pPr>
      <w:r w:rsidRPr="003C5D0E">
        <w:rPr>
          <w:sz w:val="28"/>
          <w:szCs w:val="28"/>
          <w:lang w:val="en-US"/>
        </w:rPr>
        <w:t xml:space="preserve">Comparison of answers of young people about </w:t>
      </w:r>
      <w:r>
        <w:rPr>
          <w:sz w:val="28"/>
          <w:szCs w:val="28"/>
          <w:lang w:val="en-US"/>
        </w:rPr>
        <w:t xml:space="preserve">the </w:t>
      </w:r>
      <w:r w:rsidRPr="003C5D0E">
        <w:rPr>
          <w:sz w:val="28"/>
          <w:szCs w:val="28"/>
          <w:lang w:val="en-US"/>
        </w:rPr>
        <w:t xml:space="preserve">motives (factors) of choice of profession, about the relation to study by the chosen profession and, at last, about </w:t>
      </w:r>
      <w:r>
        <w:rPr>
          <w:sz w:val="28"/>
          <w:szCs w:val="28"/>
          <w:lang w:val="en-US"/>
        </w:rPr>
        <w:t xml:space="preserve">the </w:t>
      </w:r>
      <w:r w:rsidRPr="003C5D0E">
        <w:rPr>
          <w:sz w:val="28"/>
          <w:szCs w:val="28"/>
          <w:lang w:val="en-US"/>
        </w:rPr>
        <w:t xml:space="preserve">plans of employment for the chosen profession allows draw a conclusion that a third of </w:t>
      </w:r>
      <w:r>
        <w:rPr>
          <w:sz w:val="28"/>
          <w:szCs w:val="28"/>
          <w:lang w:val="en-US"/>
        </w:rPr>
        <w:t>students</w:t>
      </w:r>
      <w:r w:rsidRPr="003C5D0E">
        <w:rPr>
          <w:sz w:val="28"/>
          <w:szCs w:val="28"/>
          <w:lang w:val="en-US"/>
        </w:rPr>
        <w:t xml:space="preserve"> of secondary and primary professional education didn't plan to work in the specialty at a choice stage</w:t>
      </w:r>
      <w:r>
        <w:rPr>
          <w:sz w:val="28"/>
          <w:szCs w:val="28"/>
          <w:lang w:val="en-US"/>
        </w:rPr>
        <w:t xml:space="preserve"> yet</w:t>
      </w:r>
      <w:r w:rsidRPr="003C5D0E">
        <w:rPr>
          <w:sz w:val="28"/>
          <w:szCs w:val="28"/>
          <w:lang w:val="en-US"/>
        </w:rPr>
        <w:t xml:space="preserve">. This step is for them compelled in connection with </w:t>
      </w:r>
      <w:r>
        <w:rPr>
          <w:sz w:val="28"/>
          <w:szCs w:val="28"/>
          <w:lang w:val="en-US"/>
        </w:rPr>
        <w:t xml:space="preserve">a </w:t>
      </w:r>
      <w:r w:rsidRPr="003C5D0E">
        <w:rPr>
          <w:sz w:val="28"/>
          <w:szCs w:val="28"/>
          <w:lang w:val="en-US"/>
        </w:rPr>
        <w:t xml:space="preserve">low resource supply of a family or weak progress at school that hasn't allowed be guided freely in a big variety of professions, and has forced to be limited only to the fact that free of charge. The compelled professional choice is a way to </w:t>
      </w:r>
      <w:r>
        <w:rPr>
          <w:sz w:val="28"/>
          <w:szCs w:val="28"/>
          <w:lang w:val="en-US"/>
        </w:rPr>
        <w:t>the</w:t>
      </w:r>
      <w:r w:rsidRPr="003C5D0E">
        <w:rPr>
          <w:sz w:val="28"/>
          <w:szCs w:val="28"/>
          <w:lang w:val="en-US"/>
        </w:rPr>
        <w:t xml:space="preserve"> situation of vital uncertainty, uncertainty of the professional future, impossibility of early specialization and planning of life as on the remote and </w:t>
      </w:r>
      <w:r>
        <w:rPr>
          <w:sz w:val="28"/>
          <w:szCs w:val="28"/>
          <w:lang w:val="en-US"/>
        </w:rPr>
        <w:t xml:space="preserve">the </w:t>
      </w:r>
      <w:r w:rsidRPr="003C5D0E">
        <w:rPr>
          <w:sz w:val="28"/>
          <w:szCs w:val="28"/>
          <w:lang w:val="en-US"/>
        </w:rPr>
        <w:t xml:space="preserve">near-term </w:t>
      </w:r>
      <w:r>
        <w:rPr>
          <w:sz w:val="28"/>
          <w:szCs w:val="28"/>
          <w:lang w:val="en-US"/>
        </w:rPr>
        <w:t>perspective</w:t>
      </w:r>
      <w:r w:rsidRPr="003C5D0E">
        <w:rPr>
          <w:sz w:val="28"/>
          <w:szCs w:val="28"/>
          <w:lang w:val="en-US"/>
        </w:rPr>
        <w:t>.</w:t>
      </w:r>
    </w:p>
    <w:p w:rsidR="00E70971" w:rsidRPr="003C5D0E" w:rsidRDefault="00E70971" w:rsidP="00CC32E9">
      <w:pPr>
        <w:spacing w:after="0"/>
        <w:ind w:firstLine="709"/>
        <w:jc w:val="both"/>
        <w:rPr>
          <w:sz w:val="28"/>
          <w:szCs w:val="28"/>
          <w:lang w:val="en-US"/>
        </w:rPr>
      </w:pPr>
    </w:p>
    <w:p w:rsidR="00E70971" w:rsidRDefault="00E70971" w:rsidP="00CC32E9">
      <w:pPr>
        <w:spacing w:after="0"/>
        <w:ind w:firstLine="0"/>
        <w:jc w:val="center"/>
        <w:rPr>
          <w:b/>
          <w:i/>
          <w:sz w:val="28"/>
          <w:szCs w:val="28"/>
        </w:rPr>
      </w:pPr>
      <w:r w:rsidRPr="001F0C97">
        <w:rPr>
          <w:b/>
          <w:i/>
          <w:sz w:val="28"/>
          <w:szCs w:val="28"/>
          <w:lang w:val="en-US"/>
        </w:rPr>
        <w:t>Literature and the sources:</w:t>
      </w:r>
    </w:p>
    <w:p w:rsidR="00CC32E9" w:rsidRPr="004051FF" w:rsidRDefault="00CC32E9" w:rsidP="00CC32E9">
      <w:pPr>
        <w:spacing w:after="0"/>
        <w:ind w:firstLine="851"/>
        <w:jc w:val="center"/>
        <w:rPr>
          <w:b/>
          <w:i/>
          <w:color w:val="000000"/>
          <w:sz w:val="28"/>
          <w:szCs w:val="28"/>
        </w:rPr>
      </w:pPr>
    </w:p>
    <w:p w:rsidR="00CC32E9" w:rsidRPr="004051FF" w:rsidRDefault="00CC32E9" w:rsidP="00CC32E9">
      <w:pPr>
        <w:numPr>
          <w:ilvl w:val="0"/>
          <w:numId w:val="1"/>
        </w:numPr>
        <w:tabs>
          <w:tab w:val="left" w:pos="426"/>
          <w:tab w:val="left" w:pos="1276"/>
        </w:tabs>
        <w:spacing w:after="0"/>
        <w:ind w:left="0" w:firstLine="851"/>
        <w:jc w:val="both"/>
        <w:rPr>
          <w:i/>
          <w:color w:val="000000"/>
          <w:sz w:val="28"/>
          <w:szCs w:val="28"/>
        </w:rPr>
      </w:pPr>
      <w:r w:rsidRPr="004051FF">
        <w:rPr>
          <w:bCs/>
          <w:i/>
          <w:color w:val="000000"/>
          <w:sz w:val="28"/>
          <w:szCs w:val="28"/>
        </w:rPr>
        <w:t>Выступление Президента Российской Федерации на пленарном заседании съезда Российского союза промышленников и предпринимателей собранию 19 марта 2015 г. [Электронный ресурс]. –.– Режим доступа:</w:t>
      </w:r>
      <w:r w:rsidRPr="004051FF">
        <w:rPr>
          <w:i/>
          <w:color w:val="000000"/>
          <w:sz w:val="28"/>
          <w:szCs w:val="28"/>
        </w:rPr>
        <w:t xml:space="preserve"> </w:t>
      </w:r>
      <w:hyperlink r:id="rId9" w:history="1">
        <w:r w:rsidRPr="00726880">
          <w:rPr>
            <w:rStyle w:val="a8"/>
            <w:bCs/>
            <w:i/>
            <w:color w:val="000000"/>
            <w:sz w:val="28"/>
            <w:szCs w:val="28"/>
          </w:rPr>
          <w:t>http://kremlin.ru/events/president/transcripts/47885</w:t>
        </w:r>
      </w:hyperlink>
    </w:p>
    <w:p w:rsidR="00CC32E9" w:rsidRPr="004051FF" w:rsidRDefault="00CC32E9" w:rsidP="00CC32E9">
      <w:pPr>
        <w:numPr>
          <w:ilvl w:val="0"/>
          <w:numId w:val="1"/>
        </w:numPr>
        <w:tabs>
          <w:tab w:val="left" w:pos="426"/>
          <w:tab w:val="left" w:pos="1276"/>
        </w:tabs>
        <w:spacing w:after="0"/>
        <w:ind w:left="0" w:firstLine="851"/>
        <w:jc w:val="both"/>
        <w:rPr>
          <w:i/>
          <w:color w:val="000000"/>
          <w:sz w:val="28"/>
          <w:szCs w:val="28"/>
        </w:rPr>
      </w:pPr>
      <w:r w:rsidRPr="004051FF">
        <w:rPr>
          <w:i/>
          <w:color w:val="000000"/>
          <w:sz w:val="28"/>
          <w:szCs w:val="28"/>
        </w:rPr>
        <w:t>Цуканова</w:t>
      </w:r>
      <w:r>
        <w:rPr>
          <w:i/>
          <w:color w:val="000000"/>
          <w:sz w:val="28"/>
          <w:szCs w:val="28"/>
        </w:rPr>
        <w:t>,</w:t>
      </w:r>
      <w:r w:rsidRPr="004051FF">
        <w:rPr>
          <w:i/>
          <w:color w:val="000000"/>
          <w:sz w:val="28"/>
          <w:szCs w:val="28"/>
        </w:rPr>
        <w:t xml:space="preserve"> Е. Усиливая голод </w:t>
      </w:r>
      <w:r w:rsidRPr="004051FF">
        <w:rPr>
          <w:bCs/>
          <w:i/>
          <w:color w:val="000000"/>
          <w:sz w:val="28"/>
          <w:szCs w:val="28"/>
        </w:rPr>
        <w:t>[Электронный ресурс]. –.– Режим доступа:</w:t>
      </w:r>
      <w:r w:rsidRPr="004051FF">
        <w:rPr>
          <w:i/>
          <w:color w:val="000000"/>
          <w:sz w:val="28"/>
          <w:szCs w:val="28"/>
        </w:rPr>
        <w:t xml:space="preserve"> </w:t>
      </w:r>
      <w:hyperlink r:id="rId10" w:history="1">
        <w:r w:rsidRPr="00726880">
          <w:rPr>
            <w:rStyle w:val="a8"/>
            <w:i/>
            <w:color w:val="000000"/>
            <w:sz w:val="28"/>
            <w:szCs w:val="28"/>
          </w:rPr>
          <w:t>http://ww</w:t>
        </w:r>
        <w:r w:rsidRPr="00726880">
          <w:rPr>
            <w:rStyle w:val="a8"/>
            <w:i/>
            <w:color w:val="000000"/>
            <w:sz w:val="28"/>
            <w:szCs w:val="28"/>
          </w:rPr>
          <w:t>w</w:t>
        </w:r>
        <w:r w:rsidRPr="00726880">
          <w:rPr>
            <w:rStyle w:val="a8"/>
            <w:i/>
            <w:color w:val="000000"/>
            <w:sz w:val="28"/>
            <w:szCs w:val="28"/>
          </w:rPr>
          <w:t>.kommersant.ru/doc/2768975</w:t>
        </w:r>
      </w:hyperlink>
    </w:p>
    <w:p w:rsidR="00CC32E9" w:rsidRPr="00726880" w:rsidRDefault="00CC32E9" w:rsidP="00CC32E9">
      <w:pPr>
        <w:numPr>
          <w:ilvl w:val="0"/>
          <w:numId w:val="1"/>
        </w:numPr>
        <w:tabs>
          <w:tab w:val="left" w:pos="426"/>
          <w:tab w:val="left" w:pos="1276"/>
        </w:tabs>
        <w:spacing w:after="0"/>
        <w:ind w:left="0" w:firstLine="851"/>
        <w:jc w:val="both"/>
        <w:rPr>
          <w:i/>
          <w:color w:val="000000"/>
          <w:sz w:val="28"/>
          <w:szCs w:val="28"/>
        </w:rPr>
      </w:pPr>
      <w:r w:rsidRPr="004051FF">
        <w:rPr>
          <w:i/>
          <w:color w:val="000000"/>
          <w:sz w:val="28"/>
          <w:szCs w:val="28"/>
        </w:rPr>
        <w:t>Щербаков</w:t>
      </w:r>
      <w:r>
        <w:rPr>
          <w:i/>
          <w:color w:val="000000"/>
          <w:sz w:val="28"/>
          <w:szCs w:val="28"/>
        </w:rPr>
        <w:t>,</w:t>
      </w:r>
      <w:r w:rsidRPr="004051FF">
        <w:rPr>
          <w:i/>
          <w:color w:val="000000"/>
          <w:sz w:val="28"/>
          <w:szCs w:val="28"/>
        </w:rPr>
        <w:t xml:space="preserve"> Д. Мы выполняем государственную задачу </w:t>
      </w:r>
      <w:r w:rsidRPr="004051FF">
        <w:rPr>
          <w:bCs/>
          <w:i/>
          <w:color w:val="000000"/>
          <w:sz w:val="28"/>
          <w:szCs w:val="28"/>
        </w:rPr>
        <w:t>[Электронный ресурс]. –.– Режим доступа:</w:t>
      </w:r>
      <w:r w:rsidRPr="004051FF">
        <w:rPr>
          <w:i/>
          <w:color w:val="000000"/>
          <w:sz w:val="28"/>
          <w:szCs w:val="28"/>
        </w:rPr>
        <w:t xml:space="preserve"> </w:t>
      </w:r>
      <w:hyperlink r:id="rId11" w:history="1">
        <w:r w:rsidRPr="00726880">
          <w:rPr>
            <w:rStyle w:val="a8"/>
            <w:i/>
            <w:color w:val="000000"/>
            <w:sz w:val="28"/>
            <w:szCs w:val="28"/>
          </w:rPr>
          <w:t>http://</w:t>
        </w:r>
        <w:r w:rsidRPr="00726880">
          <w:rPr>
            <w:i/>
            <w:color w:val="000000"/>
          </w:rPr>
          <w:t xml:space="preserve"> </w:t>
        </w:r>
        <w:r w:rsidRPr="00726880">
          <w:rPr>
            <w:rStyle w:val="a8"/>
            <w:i/>
            <w:color w:val="000000"/>
            <w:sz w:val="28"/>
            <w:szCs w:val="28"/>
          </w:rPr>
          <w:t>http://www.kommersant.ru/doc/2924372</w:t>
        </w:r>
      </w:hyperlink>
    </w:p>
    <w:p w:rsidR="00CC32E9" w:rsidRPr="00CC32E9" w:rsidRDefault="00CC32E9" w:rsidP="00CC32E9">
      <w:pPr>
        <w:spacing w:after="0"/>
        <w:ind w:firstLine="709"/>
        <w:jc w:val="center"/>
        <w:rPr>
          <w:b/>
          <w:i/>
          <w:sz w:val="28"/>
          <w:szCs w:val="28"/>
        </w:rPr>
      </w:pPr>
    </w:p>
    <w:sectPr w:rsidR="00CC32E9" w:rsidRPr="00CC32E9" w:rsidSect="009D3C8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4B8B" w:rsidRDefault="000A4B8B" w:rsidP="003C5D0E">
      <w:pPr>
        <w:spacing w:after="0"/>
      </w:pPr>
      <w:r>
        <w:separator/>
      </w:r>
    </w:p>
  </w:endnote>
  <w:endnote w:type="continuationSeparator" w:id="1">
    <w:p w:rsidR="000A4B8B" w:rsidRDefault="000A4B8B" w:rsidP="003C5D0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4B8B" w:rsidRDefault="000A4B8B" w:rsidP="003C5D0E">
      <w:pPr>
        <w:spacing w:after="0"/>
      </w:pPr>
      <w:r>
        <w:separator/>
      </w:r>
    </w:p>
  </w:footnote>
  <w:footnote w:type="continuationSeparator" w:id="1">
    <w:p w:rsidR="000A4B8B" w:rsidRDefault="000A4B8B" w:rsidP="003C5D0E">
      <w:pPr>
        <w:spacing w:after="0"/>
      </w:pPr>
      <w:r>
        <w:continuationSeparator/>
      </w:r>
    </w:p>
  </w:footnote>
  <w:footnote w:id="2">
    <w:p w:rsidR="00E70971" w:rsidRDefault="00E70971" w:rsidP="007972D8">
      <w:pPr>
        <w:pStyle w:val="a5"/>
        <w:jc w:val="both"/>
      </w:pPr>
      <w:r>
        <w:rPr>
          <w:rStyle w:val="a7"/>
        </w:rPr>
        <w:footnoteRef/>
      </w:r>
      <w:r w:rsidRPr="00C61635">
        <w:rPr>
          <w:lang w:val="en-US"/>
        </w:rPr>
        <w:t xml:space="preserve"> See, Konstantinovsk</w:t>
      </w:r>
      <w:r>
        <w:rPr>
          <w:lang w:val="en-US"/>
        </w:rPr>
        <w:t>i</w:t>
      </w:r>
      <w:r w:rsidRPr="00C61635">
        <w:rPr>
          <w:lang w:val="en-US"/>
        </w:rPr>
        <w:t>y</w:t>
      </w:r>
      <w:r>
        <w:rPr>
          <w:lang w:val="en-US"/>
        </w:rPr>
        <w:t>,</w:t>
      </w:r>
      <w:r w:rsidRPr="00C61635">
        <w:rPr>
          <w:lang w:val="en-US"/>
        </w:rPr>
        <w:t xml:space="preserve"> D. L. </w:t>
      </w:r>
      <w:r>
        <w:rPr>
          <w:lang w:val="en-US"/>
        </w:rPr>
        <w:t>Youth</w:t>
      </w:r>
      <w:r w:rsidRPr="00C61635">
        <w:rPr>
          <w:lang w:val="en-US"/>
        </w:rPr>
        <w:t xml:space="preserve"> of the 90th: self-determination in new reality. Vocational </w:t>
      </w:r>
      <w:r>
        <w:rPr>
          <w:lang w:val="en-US"/>
        </w:rPr>
        <w:t>orientations</w:t>
      </w:r>
      <w:r w:rsidRPr="00C61635">
        <w:rPr>
          <w:lang w:val="en-US"/>
        </w:rPr>
        <w:t xml:space="preserve"> of the Russian seniors of the 90th years: plans and their realization. M.: Center of sociology of formation of </w:t>
      </w:r>
      <w:r>
        <w:rPr>
          <w:lang w:val="en-US"/>
        </w:rPr>
        <w:t xml:space="preserve">the </w:t>
      </w:r>
      <w:r w:rsidRPr="00C61635">
        <w:rPr>
          <w:lang w:val="en-US"/>
        </w:rPr>
        <w:t>Russian joint stock company, 2000. P</w:t>
      </w:r>
      <w:r>
        <w:rPr>
          <w:lang w:val="en-US"/>
        </w:rPr>
        <w:t>.</w:t>
      </w:r>
      <w:r w:rsidRPr="00C61635">
        <w:rPr>
          <w:lang w:val="en-US"/>
        </w:rPr>
        <w:t xml:space="preserve"> 110; When there comes choice time (Aspirations of youth and the first steps after the </w:t>
      </w:r>
      <w:r>
        <w:rPr>
          <w:lang w:val="en-US"/>
        </w:rPr>
        <w:t>graduating from</w:t>
      </w:r>
      <w:r w:rsidRPr="00C61635">
        <w:rPr>
          <w:lang w:val="en-US"/>
        </w:rPr>
        <w:t xml:space="preserve"> educational institutions). SPb.: RHGI publishing house, 2001; Cherednichenko</w:t>
      </w:r>
      <w:r>
        <w:rPr>
          <w:lang w:val="en-US"/>
        </w:rPr>
        <w:t>,</w:t>
      </w:r>
      <w:r w:rsidRPr="00C61635">
        <w:rPr>
          <w:lang w:val="en-US"/>
        </w:rPr>
        <w:t xml:space="preserve"> G. A. Youth of Russia: social orientations and courses of life (experience of sociological research). SPb.: 2004, P</w:t>
      </w:r>
      <w:r>
        <w:rPr>
          <w:lang w:val="en-US"/>
        </w:rPr>
        <w:t>.</w:t>
      </w:r>
      <w:r w:rsidRPr="00C61635">
        <w:rPr>
          <w:lang w:val="en-US"/>
        </w:rPr>
        <w:t xml:space="preserve"> 58 – 72; Konstantinovsky</w:t>
      </w:r>
      <w:r>
        <w:rPr>
          <w:lang w:val="en-US"/>
        </w:rPr>
        <w:t>,</w:t>
      </w:r>
      <w:r w:rsidRPr="00C61635">
        <w:rPr>
          <w:lang w:val="en-US"/>
        </w:rPr>
        <w:t xml:space="preserve"> D. L. Inequality and education: experience of sociological researches of vital start of the Russian youth (1960 – the beginning of the 2000th). M.: 2008; Konstantinovsky</w:t>
      </w:r>
      <w:r>
        <w:rPr>
          <w:lang w:val="en-US"/>
        </w:rPr>
        <w:t>,</w:t>
      </w:r>
      <w:r w:rsidRPr="00C61635">
        <w:rPr>
          <w:lang w:val="en-US"/>
        </w:rPr>
        <w:t xml:space="preserve"> D. L., Voznesenskaya</w:t>
      </w:r>
      <w:r>
        <w:rPr>
          <w:lang w:val="en-US"/>
        </w:rPr>
        <w:t>,</w:t>
      </w:r>
      <w:r w:rsidRPr="00C61635">
        <w:rPr>
          <w:lang w:val="en-US"/>
        </w:rPr>
        <w:t xml:space="preserve"> E. D., Cherednichenko</w:t>
      </w:r>
      <w:r>
        <w:rPr>
          <w:lang w:val="en-US"/>
        </w:rPr>
        <w:t>,</w:t>
      </w:r>
      <w:r w:rsidRPr="00C61635">
        <w:rPr>
          <w:lang w:val="en-US"/>
        </w:rPr>
        <w:t xml:space="preserve"> G. A. Young workers of Russia: quantitative and high-quality measurements. </w:t>
      </w:r>
      <w:r w:rsidRPr="007972D8">
        <w:rPr>
          <w:lang w:val="en-US"/>
        </w:rPr>
        <w:t>[Electronic resource]. – M.: TsSI. 2013. – 277 P</w:t>
      </w:r>
      <w:r>
        <w:rPr>
          <w:lang w:val="en-US"/>
        </w:rPr>
        <w:t>.</w:t>
      </w:r>
      <w:r w:rsidRPr="007972D8">
        <w:rPr>
          <w:lang w:val="en-US"/>
        </w:rPr>
        <w:t xml:space="preserve"> 1 CD ROM.</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4D6F09"/>
    <w:multiLevelType w:val="hybridMultilevel"/>
    <w:tmpl w:val="1B0CFE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footnotePr>
    <w:footnote w:id="0"/>
    <w:footnote w:id="1"/>
  </w:footnotePr>
  <w:endnotePr>
    <w:endnote w:id="0"/>
    <w:endnote w:id="1"/>
  </w:endnotePr>
  <w:compat/>
  <w:rsids>
    <w:rsidRoot w:val="003C5D0E"/>
    <w:rsid w:val="000A1954"/>
    <w:rsid w:val="000A4B8B"/>
    <w:rsid w:val="001F0C97"/>
    <w:rsid w:val="00301457"/>
    <w:rsid w:val="0036090F"/>
    <w:rsid w:val="003C5D0E"/>
    <w:rsid w:val="003E6F30"/>
    <w:rsid w:val="00402DDC"/>
    <w:rsid w:val="004051FF"/>
    <w:rsid w:val="0048360F"/>
    <w:rsid w:val="004C6232"/>
    <w:rsid w:val="0076398F"/>
    <w:rsid w:val="007972D8"/>
    <w:rsid w:val="00892B0F"/>
    <w:rsid w:val="00892FF9"/>
    <w:rsid w:val="008D710F"/>
    <w:rsid w:val="008F5502"/>
    <w:rsid w:val="0097626A"/>
    <w:rsid w:val="009D3C8A"/>
    <w:rsid w:val="00A734F8"/>
    <w:rsid w:val="00BE183F"/>
    <w:rsid w:val="00C61635"/>
    <w:rsid w:val="00CC32E9"/>
    <w:rsid w:val="00E708F6"/>
    <w:rsid w:val="00E70971"/>
    <w:rsid w:val="00EC6B58"/>
    <w:rsid w:val="00F76E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D0E"/>
    <w:pPr>
      <w:spacing w:after="120"/>
      <w:ind w:firstLine="284"/>
    </w:pPr>
    <w:rPr>
      <w:rFonts w:ascii="Times New Roman" w:eastAsia="MS Mincho" w:hAnsi="Times New Roman"/>
      <w:sz w:val="24"/>
      <w:lang w:eastAsia="ja-JP"/>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C5D0E"/>
    <w:pPr>
      <w:spacing w:after="0"/>
    </w:pPr>
    <w:rPr>
      <w:rFonts w:ascii="Tahoma" w:hAnsi="Tahoma" w:cs="Tahoma"/>
      <w:sz w:val="16"/>
      <w:szCs w:val="16"/>
    </w:rPr>
  </w:style>
  <w:style w:type="character" w:customStyle="1" w:styleId="a4">
    <w:name w:val="Текст выноски Знак"/>
    <w:basedOn w:val="a0"/>
    <w:link w:val="a3"/>
    <w:uiPriority w:val="99"/>
    <w:semiHidden/>
    <w:locked/>
    <w:rsid w:val="003C5D0E"/>
    <w:rPr>
      <w:rFonts w:ascii="Tahoma" w:eastAsia="MS Mincho" w:hAnsi="Tahoma" w:cs="Tahoma"/>
      <w:sz w:val="16"/>
      <w:szCs w:val="16"/>
      <w:lang w:eastAsia="ja-JP"/>
    </w:rPr>
  </w:style>
  <w:style w:type="paragraph" w:customStyle="1" w:styleId="1">
    <w:name w:val="Обычный1"/>
    <w:uiPriority w:val="99"/>
    <w:rsid w:val="003C5D0E"/>
    <w:rPr>
      <w:rFonts w:ascii="Times New Roman" w:eastAsia="Times New Roman" w:hAnsi="Times New Roman"/>
      <w:sz w:val="20"/>
      <w:szCs w:val="20"/>
    </w:rPr>
  </w:style>
  <w:style w:type="paragraph" w:styleId="a5">
    <w:name w:val="footnote text"/>
    <w:basedOn w:val="a"/>
    <w:link w:val="a6"/>
    <w:uiPriority w:val="99"/>
    <w:semiHidden/>
    <w:rsid w:val="003C5D0E"/>
    <w:pPr>
      <w:spacing w:after="0"/>
    </w:pPr>
    <w:rPr>
      <w:sz w:val="20"/>
      <w:szCs w:val="20"/>
    </w:rPr>
  </w:style>
  <w:style w:type="character" w:customStyle="1" w:styleId="a6">
    <w:name w:val="Текст сноски Знак"/>
    <w:basedOn w:val="a0"/>
    <w:link w:val="a5"/>
    <w:uiPriority w:val="99"/>
    <w:semiHidden/>
    <w:locked/>
    <w:rsid w:val="003C5D0E"/>
    <w:rPr>
      <w:rFonts w:ascii="Times New Roman" w:eastAsia="MS Mincho" w:hAnsi="Times New Roman" w:cs="Times New Roman"/>
      <w:sz w:val="20"/>
      <w:szCs w:val="20"/>
      <w:lang w:eastAsia="ja-JP"/>
    </w:rPr>
  </w:style>
  <w:style w:type="character" w:styleId="a7">
    <w:name w:val="footnote reference"/>
    <w:basedOn w:val="a0"/>
    <w:uiPriority w:val="99"/>
    <w:semiHidden/>
    <w:rsid w:val="003C5D0E"/>
    <w:rPr>
      <w:rFonts w:cs="Times New Roman"/>
      <w:vertAlign w:val="superscript"/>
    </w:rPr>
  </w:style>
  <w:style w:type="character" w:styleId="a8">
    <w:name w:val="Hyperlink"/>
    <w:uiPriority w:val="99"/>
    <w:rsid w:val="00CC32E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ommersant.ru/doc/2768975" TargetMode="External"/><Relationship Id="rId5" Type="http://schemas.openxmlformats.org/officeDocument/2006/relationships/footnotes" Target="footnotes.xml"/><Relationship Id="rId10" Type="http://schemas.openxmlformats.org/officeDocument/2006/relationships/hyperlink" Target="http://www.kommersant.ru/doc/2768975" TargetMode="External"/><Relationship Id="rId4" Type="http://schemas.openxmlformats.org/officeDocument/2006/relationships/webSettings" Target="webSettings.xml"/><Relationship Id="rId9" Type="http://schemas.openxmlformats.org/officeDocument/2006/relationships/hyperlink" Target="http://kremlin.ru/events/president/transcripts/47885"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Office_Excel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5.1094890510949023E-2"/>
          <c:y val="2.0501138952164166E-2"/>
          <c:w val="0.93065693430656971"/>
          <c:h val="0.41230068337130343"/>
        </c:manualLayout>
      </c:layout>
      <c:barChart>
        <c:barDir val="bar"/>
        <c:grouping val="clustered"/>
        <c:ser>
          <c:idx val="0"/>
          <c:order val="0"/>
          <c:tx>
            <c:strRef>
              <c:f>Sheet1!$A$2</c:f>
              <c:strCache>
                <c:ptCount val="1"/>
                <c:pt idx="0">
                  <c:v>I don't feel such need</c:v>
                </c:pt>
              </c:strCache>
            </c:strRef>
          </c:tx>
          <c:spPr>
            <a:solidFill>
              <a:schemeClr val="accent1">
                <a:alpha val="85000"/>
              </a:schemeClr>
            </a:solidFill>
            <a:ln w="9135" cap="flat" cmpd="sng" algn="ctr">
              <a:solidFill>
                <a:schemeClr val="lt1">
                  <a:alpha val="50000"/>
                </a:schemeClr>
              </a:solidFill>
              <a:round/>
            </a:ln>
            <a:effectLst/>
          </c:spPr>
          <c:dLbls>
            <c:spPr>
              <a:noFill/>
              <a:ln w="24386">
                <a:noFill/>
              </a:ln>
            </c:spPr>
            <c:txPr>
              <a:bodyPr rot="0" spcFirstLastPara="1" vertOverflow="ellipsis" vert="horz" wrap="square" lIns="38100" tIns="19050" rIns="38100" bIns="19050" anchor="ctr" anchorCtr="1">
                <a:spAutoFit/>
              </a:bodyPr>
              <a:lstStyle/>
              <a:p>
                <a:pPr>
                  <a:defRPr sz="863" b="1" i="0" u="none" strike="noStrike" kern="1200" baseline="0">
                    <a:solidFill>
                      <a:schemeClr val="lt1"/>
                    </a:solidFill>
                    <a:latin typeface="+mn-lt"/>
                    <a:ea typeface="+mn-ea"/>
                    <a:cs typeface="+mn-cs"/>
                  </a:defRPr>
                </a:pPr>
                <a:endParaRPr lang="ru-RU"/>
              </a:p>
            </c:txPr>
            <c:dLblPos val="inEnd"/>
            <c:showVal val="1"/>
          </c:dLbls>
          <c:cat>
            <c:numRef>
              <c:f>Sheet1!$B$1:$B$1</c:f>
              <c:numCache>
                <c:formatCode>General</c:formatCode>
                <c:ptCount val="1"/>
              </c:numCache>
            </c:numRef>
          </c:cat>
          <c:val>
            <c:numRef>
              <c:f>Sheet1!$B$2:$B$2</c:f>
              <c:numCache>
                <c:formatCode>General</c:formatCode>
                <c:ptCount val="1"/>
                <c:pt idx="0">
                  <c:v>21.4</c:v>
                </c:pt>
              </c:numCache>
            </c:numRef>
          </c:val>
        </c:ser>
        <c:ser>
          <c:idx val="1"/>
          <c:order val="1"/>
          <c:tx>
            <c:strRef>
              <c:f>Sheet1!$A$3</c:f>
              <c:strCache>
                <c:ptCount val="1"/>
                <c:pt idx="0">
                  <c:v>About opportunities and prospects of the employment after completion of training in technical school (school)</c:v>
                </c:pt>
              </c:strCache>
            </c:strRef>
          </c:tx>
          <c:spPr>
            <a:solidFill>
              <a:schemeClr val="accent2">
                <a:alpha val="85000"/>
              </a:schemeClr>
            </a:solidFill>
            <a:ln w="9135" cap="flat" cmpd="sng" algn="ctr">
              <a:solidFill>
                <a:schemeClr val="lt1">
                  <a:alpha val="50000"/>
                </a:schemeClr>
              </a:solidFill>
              <a:round/>
            </a:ln>
            <a:effectLst/>
          </c:spPr>
          <c:dLbls>
            <c:spPr>
              <a:noFill/>
              <a:ln w="24386">
                <a:noFill/>
              </a:ln>
            </c:spPr>
            <c:txPr>
              <a:bodyPr rot="0" spcFirstLastPara="1" vertOverflow="ellipsis" vert="horz" wrap="square" lIns="38100" tIns="19050" rIns="38100" bIns="19050" anchor="ctr" anchorCtr="1">
                <a:spAutoFit/>
              </a:bodyPr>
              <a:lstStyle/>
              <a:p>
                <a:pPr>
                  <a:defRPr sz="863" b="1" i="0" u="none" strike="noStrike" kern="1200" baseline="0">
                    <a:solidFill>
                      <a:schemeClr val="lt1"/>
                    </a:solidFill>
                    <a:latin typeface="+mn-lt"/>
                    <a:ea typeface="+mn-ea"/>
                    <a:cs typeface="+mn-cs"/>
                  </a:defRPr>
                </a:pPr>
                <a:endParaRPr lang="ru-RU"/>
              </a:p>
            </c:txPr>
            <c:dLblPos val="inEnd"/>
            <c:showVal val="1"/>
          </c:dLbls>
          <c:cat>
            <c:numRef>
              <c:f>Sheet1!$B$1:$B$1</c:f>
              <c:numCache>
                <c:formatCode>General</c:formatCode>
                <c:ptCount val="1"/>
              </c:numCache>
            </c:numRef>
          </c:cat>
          <c:val>
            <c:numRef>
              <c:f>Sheet1!$B$3:$B$3</c:f>
              <c:numCache>
                <c:formatCode>General</c:formatCode>
                <c:ptCount val="1"/>
                <c:pt idx="0">
                  <c:v>41.4</c:v>
                </c:pt>
              </c:numCache>
            </c:numRef>
          </c:val>
        </c:ser>
        <c:ser>
          <c:idx val="2"/>
          <c:order val="2"/>
          <c:tx>
            <c:strRef>
              <c:f>Sheet1!$A$4</c:f>
              <c:strCache>
                <c:ptCount val="1"/>
                <c:pt idx="0">
                  <c:v>About a possibility of temporary employment (side job)</c:v>
                </c:pt>
              </c:strCache>
            </c:strRef>
          </c:tx>
          <c:spPr>
            <a:solidFill>
              <a:schemeClr val="accent3">
                <a:alpha val="85000"/>
              </a:schemeClr>
            </a:solidFill>
            <a:ln w="9135" cap="flat" cmpd="sng" algn="ctr">
              <a:solidFill>
                <a:schemeClr val="lt1">
                  <a:alpha val="50000"/>
                </a:schemeClr>
              </a:solidFill>
              <a:round/>
            </a:ln>
            <a:effectLst/>
          </c:spPr>
          <c:dLbls>
            <c:spPr>
              <a:noFill/>
              <a:ln w="24386">
                <a:noFill/>
              </a:ln>
            </c:spPr>
            <c:txPr>
              <a:bodyPr rot="0" spcFirstLastPara="1" vertOverflow="ellipsis" vert="horz" wrap="square" lIns="38100" tIns="19050" rIns="38100" bIns="19050" anchor="ctr" anchorCtr="1">
                <a:spAutoFit/>
              </a:bodyPr>
              <a:lstStyle/>
              <a:p>
                <a:pPr>
                  <a:defRPr sz="863" b="1" i="0" u="none" strike="noStrike" kern="1200" baseline="0">
                    <a:solidFill>
                      <a:schemeClr val="lt1"/>
                    </a:solidFill>
                    <a:latin typeface="+mn-lt"/>
                    <a:ea typeface="+mn-ea"/>
                    <a:cs typeface="+mn-cs"/>
                  </a:defRPr>
                </a:pPr>
                <a:endParaRPr lang="ru-RU"/>
              </a:p>
            </c:txPr>
            <c:dLblPos val="inEnd"/>
            <c:showVal val="1"/>
          </c:dLbls>
          <c:cat>
            <c:numRef>
              <c:f>Sheet1!$B$1:$B$1</c:f>
              <c:numCache>
                <c:formatCode>General</c:formatCode>
                <c:ptCount val="1"/>
              </c:numCache>
            </c:numRef>
          </c:cat>
          <c:val>
            <c:numRef>
              <c:f>Sheet1!$B$4:$B$4</c:f>
              <c:numCache>
                <c:formatCode>General</c:formatCode>
                <c:ptCount val="1"/>
                <c:pt idx="0">
                  <c:v>32.800000000000004</c:v>
                </c:pt>
              </c:numCache>
            </c:numRef>
          </c:val>
        </c:ser>
        <c:ser>
          <c:idx val="3"/>
          <c:order val="3"/>
          <c:tx>
            <c:strRef>
              <c:f>Sheet1!$A$5</c:f>
              <c:strCache>
                <c:ptCount val="1"/>
                <c:pt idx="0">
                  <c:v>About opportunities of receiving an additional profession</c:v>
                </c:pt>
              </c:strCache>
            </c:strRef>
          </c:tx>
          <c:spPr>
            <a:solidFill>
              <a:schemeClr val="accent4">
                <a:alpha val="85000"/>
              </a:schemeClr>
            </a:solidFill>
            <a:ln w="9135" cap="flat" cmpd="sng" algn="ctr">
              <a:solidFill>
                <a:schemeClr val="lt1">
                  <a:alpha val="50000"/>
                </a:schemeClr>
              </a:solidFill>
              <a:round/>
            </a:ln>
            <a:effectLst/>
          </c:spPr>
          <c:dLbls>
            <c:spPr>
              <a:noFill/>
              <a:ln w="24386">
                <a:noFill/>
              </a:ln>
            </c:spPr>
            <c:txPr>
              <a:bodyPr rot="0" spcFirstLastPara="1" vertOverflow="ellipsis" vert="horz" wrap="square" lIns="38100" tIns="19050" rIns="38100" bIns="19050" anchor="ctr" anchorCtr="1">
                <a:spAutoFit/>
              </a:bodyPr>
              <a:lstStyle/>
              <a:p>
                <a:pPr>
                  <a:defRPr sz="863" b="1" i="0" u="none" strike="noStrike" kern="1200" baseline="0">
                    <a:solidFill>
                      <a:schemeClr val="lt1"/>
                    </a:solidFill>
                    <a:latin typeface="+mn-lt"/>
                    <a:ea typeface="+mn-ea"/>
                    <a:cs typeface="+mn-cs"/>
                  </a:defRPr>
                </a:pPr>
                <a:endParaRPr lang="ru-RU"/>
              </a:p>
            </c:txPr>
            <c:dLblPos val="inEnd"/>
            <c:showVal val="1"/>
          </c:dLbls>
          <c:cat>
            <c:numRef>
              <c:f>Sheet1!$B$1:$B$1</c:f>
              <c:numCache>
                <c:formatCode>General</c:formatCode>
                <c:ptCount val="1"/>
              </c:numCache>
            </c:numRef>
          </c:cat>
          <c:val>
            <c:numRef>
              <c:f>Sheet1!$B$5:$B$5</c:f>
              <c:numCache>
                <c:formatCode>General</c:formatCode>
                <c:ptCount val="1"/>
                <c:pt idx="0">
                  <c:v>34.800000000000004</c:v>
                </c:pt>
              </c:numCache>
            </c:numRef>
          </c:val>
        </c:ser>
        <c:ser>
          <c:idx val="4"/>
          <c:order val="4"/>
          <c:tx>
            <c:strRef>
              <c:f>Sheet1!$A$6</c:f>
              <c:strCache>
                <c:ptCount val="1"/>
                <c:pt idx="0">
                  <c:v>About opportunities of the solution of the housing problem</c:v>
                </c:pt>
              </c:strCache>
            </c:strRef>
          </c:tx>
          <c:spPr>
            <a:solidFill>
              <a:schemeClr val="accent5">
                <a:alpha val="85000"/>
              </a:schemeClr>
            </a:solidFill>
            <a:ln w="9135" cap="flat" cmpd="sng" algn="ctr">
              <a:solidFill>
                <a:schemeClr val="lt1">
                  <a:alpha val="50000"/>
                </a:schemeClr>
              </a:solidFill>
              <a:round/>
            </a:ln>
            <a:effectLst/>
          </c:spPr>
          <c:dLbls>
            <c:spPr>
              <a:noFill/>
              <a:ln w="24386">
                <a:noFill/>
              </a:ln>
            </c:spPr>
            <c:txPr>
              <a:bodyPr rot="0" spcFirstLastPara="1" vertOverflow="ellipsis" vert="horz" wrap="square" lIns="38100" tIns="19050" rIns="38100" bIns="19050" anchor="ctr" anchorCtr="1">
                <a:spAutoFit/>
              </a:bodyPr>
              <a:lstStyle/>
              <a:p>
                <a:pPr>
                  <a:defRPr sz="863" b="1" i="0" u="none" strike="noStrike" kern="1200" baseline="0">
                    <a:solidFill>
                      <a:schemeClr val="lt1"/>
                    </a:solidFill>
                    <a:latin typeface="+mn-lt"/>
                    <a:ea typeface="+mn-ea"/>
                    <a:cs typeface="+mn-cs"/>
                  </a:defRPr>
                </a:pPr>
                <a:endParaRPr lang="ru-RU"/>
              </a:p>
            </c:txPr>
            <c:dLblPos val="inEnd"/>
            <c:showVal val="1"/>
          </c:dLbls>
          <c:cat>
            <c:numRef>
              <c:f>Sheet1!$B$1:$B$1</c:f>
              <c:numCache>
                <c:formatCode>General</c:formatCode>
                <c:ptCount val="1"/>
              </c:numCache>
            </c:numRef>
          </c:cat>
          <c:val>
            <c:numRef>
              <c:f>Sheet1!$B$6:$B$6</c:f>
              <c:numCache>
                <c:formatCode>General</c:formatCode>
                <c:ptCount val="1"/>
                <c:pt idx="0">
                  <c:v>32.1</c:v>
                </c:pt>
              </c:numCache>
            </c:numRef>
          </c:val>
        </c:ser>
        <c:ser>
          <c:idx val="5"/>
          <c:order val="5"/>
          <c:tx>
            <c:strRef>
              <c:f>Sheet1!$A$7</c:f>
              <c:strCache>
                <c:ptCount val="1"/>
                <c:pt idx="0">
                  <c:v>About the government and municipal institutions giving social support of youth</c:v>
                </c:pt>
              </c:strCache>
            </c:strRef>
          </c:tx>
          <c:spPr>
            <a:solidFill>
              <a:schemeClr val="accent6">
                <a:alpha val="85000"/>
              </a:schemeClr>
            </a:solidFill>
            <a:ln w="9135" cap="flat" cmpd="sng" algn="ctr">
              <a:solidFill>
                <a:schemeClr val="lt1">
                  <a:alpha val="50000"/>
                </a:schemeClr>
              </a:solidFill>
              <a:round/>
            </a:ln>
            <a:effectLst/>
          </c:spPr>
          <c:dLbls>
            <c:spPr>
              <a:noFill/>
              <a:ln w="24386">
                <a:noFill/>
              </a:ln>
            </c:spPr>
            <c:txPr>
              <a:bodyPr rot="0" spcFirstLastPara="1" vertOverflow="ellipsis" vert="horz" wrap="square" lIns="38100" tIns="19050" rIns="38100" bIns="19050" anchor="ctr" anchorCtr="1">
                <a:spAutoFit/>
              </a:bodyPr>
              <a:lstStyle/>
              <a:p>
                <a:pPr>
                  <a:defRPr sz="863" b="1" i="0" u="none" strike="noStrike" kern="1200" baseline="0">
                    <a:solidFill>
                      <a:schemeClr val="lt1"/>
                    </a:solidFill>
                    <a:latin typeface="+mn-lt"/>
                    <a:ea typeface="+mn-ea"/>
                    <a:cs typeface="+mn-cs"/>
                  </a:defRPr>
                </a:pPr>
                <a:endParaRPr lang="ru-RU"/>
              </a:p>
            </c:txPr>
            <c:dLblPos val="inEnd"/>
            <c:showVal val="1"/>
          </c:dLbls>
          <c:cat>
            <c:numRef>
              <c:f>Sheet1!$B$1:$B$1</c:f>
              <c:numCache>
                <c:formatCode>General</c:formatCode>
                <c:ptCount val="1"/>
              </c:numCache>
            </c:numRef>
          </c:cat>
          <c:val>
            <c:numRef>
              <c:f>Sheet1!$B$7:$B$7</c:f>
              <c:numCache>
                <c:formatCode>General</c:formatCode>
                <c:ptCount val="1"/>
                <c:pt idx="0">
                  <c:v>13.8</c:v>
                </c:pt>
              </c:numCache>
            </c:numRef>
          </c:val>
        </c:ser>
        <c:ser>
          <c:idx val="6"/>
          <c:order val="6"/>
          <c:tx>
            <c:strRef>
              <c:f>Sheet1!$A$8</c:f>
              <c:strCache>
                <c:ptCount val="1"/>
                <c:pt idx="0">
                  <c:v>About opportunities of opening and conducting the business, business activity</c:v>
                </c:pt>
              </c:strCache>
            </c:strRef>
          </c:tx>
          <c:spPr>
            <a:solidFill>
              <a:schemeClr val="accent1">
                <a:lumMod val="60000"/>
                <a:alpha val="85000"/>
              </a:schemeClr>
            </a:solidFill>
            <a:ln w="9135" cap="flat" cmpd="sng" algn="ctr">
              <a:solidFill>
                <a:schemeClr val="lt1">
                  <a:alpha val="50000"/>
                </a:schemeClr>
              </a:solidFill>
              <a:round/>
            </a:ln>
            <a:effectLst/>
          </c:spPr>
          <c:dLbls>
            <c:spPr>
              <a:noFill/>
              <a:ln w="24386">
                <a:noFill/>
              </a:ln>
            </c:spPr>
            <c:txPr>
              <a:bodyPr rot="0" spcFirstLastPara="1" vertOverflow="ellipsis" vert="horz" wrap="square" lIns="38100" tIns="19050" rIns="38100" bIns="19050" anchor="ctr" anchorCtr="1">
                <a:spAutoFit/>
              </a:bodyPr>
              <a:lstStyle/>
              <a:p>
                <a:pPr>
                  <a:defRPr sz="863" b="1" i="0" u="none" strike="noStrike" kern="1200" baseline="0">
                    <a:solidFill>
                      <a:schemeClr val="lt1"/>
                    </a:solidFill>
                    <a:latin typeface="+mn-lt"/>
                    <a:ea typeface="+mn-ea"/>
                    <a:cs typeface="+mn-cs"/>
                  </a:defRPr>
                </a:pPr>
                <a:endParaRPr lang="ru-RU"/>
              </a:p>
            </c:txPr>
            <c:dLblPos val="inEnd"/>
            <c:showVal val="1"/>
          </c:dLbls>
          <c:cat>
            <c:numRef>
              <c:f>Sheet1!$B$1:$B$1</c:f>
              <c:numCache>
                <c:formatCode>General</c:formatCode>
                <c:ptCount val="1"/>
              </c:numCache>
            </c:numRef>
          </c:cat>
          <c:val>
            <c:numRef>
              <c:f>Sheet1!$B$8:$B$8</c:f>
              <c:numCache>
                <c:formatCode>General</c:formatCode>
                <c:ptCount val="1"/>
                <c:pt idx="0">
                  <c:v>25.6</c:v>
                </c:pt>
              </c:numCache>
            </c:numRef>
          </c:val>
        </c:ser>
        <c:ser>
          <c:idx val="7"/>
          <c:order val="7"/>
          <c:tx>
            <c:strRef>
              <c:f>Sheet1!$A$9</c:f>
              <c:strCache>
                <c:ptCount val="1"/>
                <c:pt idx="0">
                  <c:v>About opportunities of receiving legal advice</c:v>
                </c:pt>
              </c:strCache>
            </c:strRef>
          </c:tx>
          <c:spPr>
            <a:solidFill>
              <a:schemeClr val="accent2">
                <a:lumMod val="60000"/>
                <a:alpha val="85000"/>
              </a:schemeClr>
            </a:solidFill>
            <a:ln w="9135" cap="flat" cmpd="sng" algn="ctr">
              <a:solidFill>
                <a:schemeClr val="lt1">
                  <a:alpha val="50000"/>
                </a:schemeClr>
              </a:solidFill>
              <a:round/>
            </a:ln>
            <a:effectLst/>
          </c:spPr>
          <c:dLbls>
            <c:spPr>
              <a:noFill/>
              <a:ln w="24386">
                <a:noFill/>
              </a:ln>
            </c:spPr>
            <c:txPr>
              <a:bodyPr rot="0" spcFirstLastPara="1" vertOverflow="ellipsis" vert="horz" wrap="square" lIns="38100" tIns="19050" rIns="38100" bIns="19050" anchor="ctr" anchorCtr="1">
                <a:spAutoFit/>
              </a:bodyPr>
              <a:lstStyle/>
              <a:p>
                <a:pPr>
                  <a:defRPr sz="863" b="1" i="0" u="none" strike="noStrike" kern="1200" baseline="0">
                    <a:solidFill>
                      <a:schemeClr val="lt1"/>
                    </a:solidFill>
                    <a:latin typeface="+mn-lt"/>
                    <a:ea typeface="+mn-ea"/>
                    <a:cs typeface="+mn-cs"/>
                  </a:defRPr>
                </a:pPr>
                <a:endParaRPr lang="ru-RU"/>
              </a:p>
            </c:txPr>
            <c:dLblPos val="inEnd"/>
            <c:showVal val="1"/>
          </c:dLbls>
          <c:cat>
            <c:numRef>
              <c:f>Sheet1!$B$1:$B$1</c:f>
              <c:numCache>
                <c:formatCode>General</c:formatCode>
                <c:ptCount val="1"/>
              </c:numCache>
            </c:numRef>
          </c:cat>
          <c:val>
            <c:numRef>
              <c:f>Sheet1!$B$9:$B$9</c:f>
              <c:numCache>
                <c:formatCode>General</c:formatCode>
                <c:ptCount val="1"/>
                <c:pt idx="0">
                  <c:v>9.0500000000000007</c:v>
                </c:pt>
              </c:numCache>
            </c:numRef>
          </c:val>
        </c:ser>
        <c:gapWidth val="65"/>
        <c:axId val="96951680"/>
        <c:axId val="96994432"/>
      </c:barChart>
      <c:catAx>
        <c:axId val="96951680"/>
        <c:scaling>
          <c:orientation val="minMax"/>
        </c:scaling>
        <c:axPos val="l"/>
        <c:numFmt formatCode="General" sourceLinked="1"/>
        <c:majorTickMark val="none"/>
        <c:tickLblPos val="low"/>
        <c:spPr>
          <a:noFill/>
          <a:ln w="18271" cap="flat" cmpd="sng" algn="ctr">
            <a:solidFill>
              <a:schemeClr val="dk1">
                <a:lumMod val="75000"/>
                <a:lumOff val="25000"/>
              </a:schemeClr>
            </a:solidFill>
            <a:round/>
          </a:ln>
          <a:effectLst/>
        </c:spPr>
        <c:txPr>
          <a:bodyPr rot="0" spcFirstLastPara="1" vertOverflow="ellipsis" wrap="square" anchor="ctr" anchorCtr="1"/>
          <a:lstStyle/>
          <a:p>
            <a:pPr>
              <a:defRPr sz="863" b="0" i="0" u="none" strike="noStrike" kern="1200" cap="all" baseline="0">
                <a:solidFill>
                  <a:schemeClr val="dk1">
                    <a:lumMod val="75000"/>
                    <a:lumOff val="25000"/>
                  </a:schemeClr>
                </a:solidFill>
                <a:latin typeface="+mn-lt"/>
                <a:ea typeface="+mn-ea"/>
                <a:cs typeface="+mn-cs"/>
              </a:defRPr>
            </a:pPr>
            <a:endParaRPr lang="ru-RU"/>
          </a:p>
        </c:txPr>
        <c:crossAx val="96994432"/>
        <c:crosses val="autoZero"/>
        <c:auto val="1"/>
        <c:lblAlgn val="ctr"/>
        <c:lblOffset val="100"/>
      </c:catAx>
      <c:valAx>
        <c:axId val="96994432"/>
        <c:scaling>
          <c:orientation val="minMax"/>
        </c:scaling>
        <c:axPos val="b"/>
        <c:majorGridlines>
          <c:spPr>
            <a:ln w="913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tickLblPos val="nextTo"/>
        <c:spPr>
          <a:ln w="9135">
            <a:noFill/>
          </a:ln>
        </c:spPr>
        <c:txPr>
          <a:bodyPr rot="0" spcFirstLastPara="1" vertOverflow="ellipsis" wrap="square" anchor="ctr" anchorCtr="1"/>
          <a:lstStyle/>
          <a:p>
            <a:pPr>
              <a:defRPr sz="863" b="0" i="0" u="none" strike="noStrike" kern="1200" baseline="0">
                <a:solidFill>
                  <a:schemeClr val="dk1">
                    <a:lumMod val="75000"/>
                    <a:lumOff val="25000"/>
                  </a:schemeClr>
                </a:solidFill>
                <a:latin typeface="+mn-lt"/>
                <a:ea typeface="+mn-ea"/>
                <a:cs typeface="+mn-cs"/>
              </a:defRPr>
            </a:pPr>
            <a:endParaRPr lang="ru-RU"/>
          </a:p>
        </c:txPr>
        <c:crossAx val="96951680"/>
        <c:crosses val="autoZero"/>
        <c:crossBetween val="between"/>
      </c:valAx>
      <c:spPr>
        <a:noFill/>
        <a:ln w="24386">
          <a:noFill/>
        </a:ln>
      </c:spPr>
    </c:plotArea>
    <c:legend>
      <c:legendPos val="r"/>
      <c:legendEntry>
        <c:idx val="3"/>
        <c:txPr>
          <a:bodyPr rot="0" spcFirstLastPara="1" vertOverflow="ellipsis" vert="horz" wrap="square" anchor="ctr" anchorCtr="1"/>
          <a:lstStyle/>
          <a:p>
            <a:pPr>
              <a:defRPr sz="1007" b="0" i="0" u="none" strike="noStrike" kern="1200" baseline="0">
                <a:solidFill>
                  <a:schemeClr val="dk1">
                    <a:lumMod val="75000"/>
                    <a:lumOff val="25000"/>
                  </a:schemeClr>
                </a:solidFill>
                <a:latin typeface="Times New Roman" panose="02020603050405020304" pitchFamily="18" charset="0"/>
                <a:ea typeface="+mn-ea"/>
                <a:cs typeface="+mn-cs"/>
              </a:defRPr>
            </a:pPr>
            <a:endParaRPr lang="ru-RU"/>
          </a:p>
        </c:txPr>
      </c:legendEntry>
      <c:legendEntry>
        <c:idx val="2"/>
        <c:txPr>
          <a:bodyPr rot="0" spcFirstLastPara="1" vertOverflow="ellipsis" vert="horz" wrap="square" anchor="ctr" anchorCtr="1"/>
          <a:lstStyle/>
          <a:p>
            <a:pPr>
              <a:defRPr sz="1007" b="0" i="0" u="none" strike="noStrike" kern="1200" baseline="0">
                <a:solidFill>
                  <a:schemeClr val="dk1">
                    <a:lumMod val="75000"/>
                    <a:lumOff val="25000"/>
                  </a:schemeClr>
                </a:solidFill>
                <a:latin typeface="Times New Roman" panose="02020603050405020304" pitchFamily="18" charset="0"/>
                <a:ea typeface="+mn-ea"/>
                <a:cs typeface="+mn-cs"/>
              </a:defRPr>
            </a:pPr>
            <a:endParaRPr lang="ru-RU"/>
          </a:p>
        </c:txPr>
      </c:legendEntry>
      <c:legendEntry>
        <c:idx val="1"/>
        <c:txPr>
          <a:bodyPr rot="0" spcFirstLastPara="1" vertOverflow="ellipsis" vert="horz" wrap="square" anchor="ctr" anchorCtr="1"/>
          <a:lstStyle/>
          <a:p>
            <a:pPr>
              <a:defRPr sz="1007" b="0" i="0" u="none" strike="noStrike" kern="1200" baseline="0">
                <a:ln>
                  <a:noFill/>
                </a:ln>
                <a:solidFill>
                  <a:schemeClr val="dk1">
                    <a:lumMod val="75000"/>
                    <a:lumOff val="25000"/>
                  </a:schemeClr>
                </a:solidFill>
                <a:latin typeface="Times New Roman" panose="02020603050405020304" pitchFamily="18" charset="0"/>
                <a:ea typeface="+mn-ea"/>
                <a:cs typeface="+mn-cs"/>
              </a:defRPr>
            </a:pPr>
            <a:endParaRPr lang="ru-RU"/>
          </a:p>
        </c:txPr>
      </c:legendEntry>
      <c:legendEntry>
        <c:idx val="0"/>
        <c:txPr>
          <a:bodyPr rot="0" spcFirstLastPara="1" vertOverflow="ellipsis" vert="horz" wrap="square" anchor="ctr" anchorCtr="1"/>
          <a:lstStyle/>
          <a:p>
            <a:pPr>
              <a:defRPr sz="1007" b="0" i="0" u="none" strike="noStrike" kern="1200" baseline="0">
                <a:solidFill>
                  <a:schemeClr val="dk1">
                    <a:lumMod val="75000"/>
                    <a:lumOff val="25000"/>
                  </a:schemeClr>
                </a:solidFill>
                <a:latin typeface="Times New Roman" panose="02020603050405020304" pitchFamily="18" charset="0"/>
                <a:ea typeface="+mn-ea"/>
                <a:cs typeface="+mn-cs"/>
              </a:defRPr>
            </a:pPr>
            <a:endParaRPr lang="ru-RU"/>
          </a:p>
        </c:txPr>
      </c:legendEntry>
      <c:legendEntry>
        <c:idx val="4"/>
        <c:txPr>
          <a:bodyPr rot="0" spcFirstLastPara="1" vertOverflow="ellipsis" vert="horz" wrap="square" anchor="ctr" anchorCtr="1"/>
          <a:lstStyle/>
          <a:p>
            <a:pPr>
              <a:defRPr sz="1007" b="0" i="0" u="none" strike="noStrike" kern="1200" baseline="0">
                <a:solidFill>
                  <a:schemeClr val="dk1">
                    <a:lumMod val="75000"/>
                    <a:lumOff val="25000"/>
                  </a:schemeClr>
                </a:solidFill>
                <a:latin typeface="Times New Roman" panose="02020603050405020304" pitchFamily="18" charset="0"/>
                <a:ea typeface="+mn-ea"/>
                <a:cs typeface="+mn-cs"/>
              </a:defRPr>
            </a:pPr>
            <a:endParaRPr lang="ru-RU"/>
          </a:p>
        </c:txPr>
      </c:legendEntry>
      <c:layout>
        <c:manualLayout>
          <c:xMode val="edge"/>
          <c:yMode val="edge"/>
          <c:x val="2.6690391459074776E-2"/>
          <c:y val="0.56127450980392157"/>
          <c:w val="0.93950177935943069"/>
          <c:h val="0.44117647058823534"/>
        </c:manualLayout>
      </c:layout>
      <c:spPr>
        <a:solidFill>
          <a:sysClr val="window" lastClr="FFFFFF">
            <a:alpha val="39000"/>
          </a:sysClr>
        </a:solidFill>
        <a:ln>
          <a:noFill/>
        </a:ln>
        <a:effectLst/>
      </c:spPr>
      <c:txPr>
        <a:bodyPr rot="0" spcFirstLastPara="1" vertOverflow="ellipsis" vert="horz" wrap="square" anchor="ctr" anchorCtr="1"/>
        <a:lstStyle/>
        <a:p>
          <a:pPr>
            <a:defRPr sz="1007" b="0" i="0" u="none" strike="noStrike" kern="1200" baseline="0">
              <a:solidFill>
                <a:schemeClr val="dk1">
                  <a:lumMod val="75000"/>
                  <a:lumOff val="25000"/>
                </a:schemeClr>
              </a:solidFill>
              <a:latin typeface="Times New Roman" panose="02020603050405020304" pitchFamily="18" charset="0"/>
              <a:ea typeface="+mn-ea"/>
              <a:cs typeface="+mn-cs"/>
            </a:defRPr>
          </a:pPr>
          <a:endParaRPr lang="ru-RU"/>
        </a:p>
      </c:txPr>
    </c:legend>
    <c:plotVisOnly val="1"/>
    <c:dispBlanksAs val="gap"/>
  </c:chart>
  <c:spPr>
    <a:solidFill>
      <a:sysClr val="window" lastClr="FFFFFF"/>
    </a:solidFill>
    <a:ln>
      <a:noFill/>
    </a:ln>
    <a:effectLst/>
  </c:spPr>
  <c:txPr>
    <a:bodyPr/>
    <a:lstStyle/>
    <a:p>
      <a:pPr>
        <a:defRPr/>
      </a:pPr>
      <a:endParaRPr lang="ru-RU"/>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bar"/>
        <c:grouping val="clustered"/>
        <c:ser>
          <c:idx val="0"/>
          <c:order val="0"/>
          <c:tx>
            <c:strRef>
              <c:f>Лист1!$B$1</c:f>
              <c:strCache>
                <c:ptCount val="1"/>
                <c:pt idx="0">
                  <c:v>2012</c:v>
                </c:pt>
              </c:strCache>
            </c:strRef>
          </c:tx>
          <c:dLbls>
            <c:spPr>
              <a:noFill/>
              <a:ln w="25400">
                <a:noFill/>
              </a:ln>
            </c:spPr>
            <c:txPr>
              <a:bodyPr rot="0" vert="horz"/>
              <a:lstStyle/>
              <a:p>
                <a:pPr>
                  <a:defRPr/>
                </a:pPr>
                <a:endParaRPr lang="ru-RU"/>
              </a:p>
            </c:txPr>
            <c:dLblPos val="inEnd"/>
            <c:showVal val="1"/>
          </c:dLbls>
          <c:cat>
            <c:strRef>
              <c:f>Лист1!$A$2:$A$10</c:f>
              <c:strCache>
                <c:ptCount val="9"/>
                <c:pt idx="0">
                  <c:v>Free education</c:v>
                </c:pt>
                <c:pt idx="1">
                  <c:v>interest in a profession</c:v>
                </c:pt>
                <c:pt idx="2">
                  <c:v>council of parents, relatives, friends</c:v>
                </c:pt>
                <c:pt idx="3">
                  <c:v>high salary</c:v>
                </c:pt>
                <c:pt idx="4">
                  <c:v>profession, useful to society</c:v>
                </c:pt>
                <c:pt idx="5">
                  <c:v>possibility of fast employment</c:v>
                </c:pt>
                <c:pt idx="6">
                  <c:v>family tradition</c:v>
                </c:pt>
                <c:pt idx="7">
                  <c:v>another</c:v>
                </c:pt>
                <c:pt idx="8">
                  <c:v>The knowledge, skills received at school</c:v>
                </c:pt>
              </c:strCache>
            </c:strRef>
          </c:cat>
          <c:val>
            <c:numRef>
              <c:f>Лист1!$B$2:$B$10</c:f>
              <c:numCache>
                <c:formatCode>General</c:formatCode>
                <c:ptCount val="9"/>
                <c:pt idx="0">
                  <c:v>45.8</c:v>
                </c:pt>
                <c:pt idx="1">
                  <c:v>38.800000000000004</c:v>
                </c:pt>
                <c:pt idx="2">
                  <c:v>30.9</c:v>
                </c:pt>
                <c:pt idx="3">
                  <c:v>24.2</c:v>
                </c:pt>
                <c:pt idx="4">
                  <c:v>17.7</c:v>
                </c:pt>
                <c:pt idx="5">
                  <c:v>20.2</c:v>
                </c:pt>
                <c:pt idx="6">
                  <c:v>11.2</c:v>
                </c:pt>
                <c:pt idx="7">
                  <c:v>5</c:v>
                </c:pt>
                <c:pt idx="8">
                  <c:v>6.7</c:v>
                </c:pt>
              </c:numCache>
            </c:numRef>
          </c:val>
        </c:ser>
        <c:ser>
          <c:idx val="1"/>
          <c:order val="1"/>
          <c:tx>
            <c:strRef>
              <c:f>Лист1!$C$1</c:f>
              <c:strCache>
                <c:ptCount val="1"/>
                <c:pt idx="0">
                  <c:v>2015</c:v>
                </c:pt>
              </c:strCache>
            </c:strRef>
          </c:tx>
          <c:dLbls>
            <c:spPr>
              <a:noFill/>
              <a:ln w="25400">
                <a:noFill/>
              </a:ln>
            </c:spPr>
            <c:txPr>
              <a:bodyPr rot="0" vert="horz"/>
              <a:lstStyle/>
              <a:p>
                <a:pPr>
                  <a:defRPr/>
                </a:pPr>
                <a:endParaRPr lang="ru-RU"/>
              </a:p>
            </c:txPr>
            <c:dLblPos val="inEnd"/>
            <c:showVal val="1"/>
          </c:dLbls>
          <c:cat>
            <c:strRef>
              <c:f>Лист1!$A$2:$A$10</c:f>
              <c:strCache>
                <c:ptCount val="9"/>
                <c:pt idx="0">
                  <c:v>Free education</c:v>
                </c:pt>
                <c:pt idx="1">
                  <c:v>interest in a profession</c:v>
                </c:pt>
                <c:pt idx="2">
                  <c:v>council of parents, relatives, friends</c:v>
                </c:pt>
                <c:pt idx="3">
                  <c:v>high salary</c:v>
                </c:pt>
                <c:pt idx="4">
                  <c:v>profession, useful to society</c:v>
                </c:pt>
                <c:pt idx="5">
                  <c:v>possibility of fast employment</c:v>
                </c:pt>
                <c:pt idx="6">
                  <c:v>family tradition</c:v>
                </c:pt>
                <c:pt idx="7">
                  <c:v>another</c:v>
                </c:pt>
                <c:pt idx="8">
                  <c:v>The knowledge, skills received at school</c:v>
                </c:pt>
              </c:strCache>
            </c:strRef>
          </c:cat>
          <c:val>
            <c:numRef>
              <c:f>Лист1!$C$2:$C$10</c:f>
              <c:numCache>
                <c:formatCode>General</c:formatCode>
                <c:ptCount val="9"/>
                <c:pt idx="0">
                  <c:v>41.8</c:v>
                </c:pt>
                <c:pt idx="1">
                  <c:v>39.800000000000004</c:v>
                </c:pt>
                <c:pt idx="2">
                  <c:v>29.8</c:v>
                </c:pt>
                <c:pt idx="3">
                  <c:v>17.7</c:v>
                </c:pt>
                <c:pt idx="4">
                  <c:v>17.2</c:v>
                </c:pt>
                <c:pt idx="5">
                  <c:v>16.399999999999999</c:v>
                </c:pt>
                <c:pt idx="6">
                  <c:v>7.4</c:v>
                </c:pt>
                <c:pt idx="7">
                  <c:v>6.1</c:v>
                </c:pt>
                <c:pt idx="8">
                  <c:v>5.6</c:v>
                </c:pt>
              </c:numCache>
            </c:numRef>
          </c:val>
        </c:ser>
        <c:gapWidth val="65"/>
        <c:axId val="117272576"/>
        <c:axId val="117274112"/>
      </c:barChart>
      <c:catAx>
        <c:axId val="117272576"/>
        <c:scaling>
          <c:orientation val="minMax"/>
        </c:scaling>
        <c:axPos val="l"/>
        <c:numFmt formatCode="General" sourceLinked="1"/>
        <c:majorTickMark val="none"/>
        <c:tickLblPos val="nextTo"/>
        <c:spPr>
          <a:ln>
            <a:noFill/>
          </a:ln>
        </c:spPr>
        <c:txPr>
          <a:bodyPr rot="-60000000" vert="horz"/>
          <a:lstStyle/>
          <a:p>
            <a:pPr>
              <a:defRPr>
                <a:latin typeface="Times New Roman" panose="02020603050405020304" pitchFamily="18" charset="0"/>
                <a:cs typeface="Times New Roman" panose="02020603050405020304" pitchFamily="18" charset="0"/>
              </a:defRPr>
            </a:pPr>
            <a:endParaRPr lang="ru-RU"/>
          </a:p>
        </c:txPr>
        <c:crossAx val="117274112"/>
        <c:crosses val="autoZero"/>
        <c:auto val="1"/>
        <c:lblAlgn val="ctr"/>
        <c:lblOffset val="100"/>
      </c:catAx>
      <c:valAx>
        <c:axId val="117274112"/>
        <c:scaling>
          <c:orientation val="minMax"/>
        </c:scaling>
        <c:axPos val="b"/>
        <c:majorGridlines/>
        <c:numFmt formatCode="General" sourceLinked="1"/>
        <c:majorTickMark val="none"/>
        <c:tickLblPos val="nextTo"/>
        <c:txPr>
          <a:bodyPr rot="-60000000" vert="horz"/>
          <a:lstStyle/>
          <a:p>
            <a:pPr>
              <a:defRPr/>
            </a:pPr>
            <a:endParaRPr lang="ru-RU"/>
          </a:p>
        </c:txPr>
        <c:crossAx val="117272576"/>
        <c:crosses val="autoZero"/>
        <c:crossBetween val="between"/>
      </c:valAx>
    </c:plotArea>
    <c:legend>
      <c:legendPos val="r"/>
      <c:layout>
        <c:manualLayout>
          <c:xMode val="edge"/>
          <c:yMode val="edge"/>
          <c:x val="4.061895551257249E-2"/>
          <c:y val="0.8929765886287625"/>
          <c:w val="0.31528046421663475"/>
          <c:h val="0.11036789297658861"/>
        </c:manualLayout>
      </c:layout>
    </c:legend>
    <c:plotVisOnly val="1"/>
    <c:dispBlanksAs val="gap"/>
  </c:chart>
  <c:spPr>
    <a:ln>
      <a:solidFill>
        <a:schemeClr val="bg1"/>
      </a:solidFill>
    </a:ln>
  </c:spPr>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7</Pages>
  <Words>2490</Words>
  <Characters>14193</Characters>
  <Application>Microsoft Office Word</Application>
  <DocSecurity>0</DocSecurity>
  <Lines>118</Lines>
  <Paragraphs>33</Paragraphs>
  <ScaleCrop>false</ScaleCrop>
  <Company>Krokoz™</Company>
  <LinksUpToDate>false</LinksUpToDate>
  <CharactersWithSpaces>16650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admin</cp:lastModifiedBy>
  <cp:revision>2</cp:revision>
  <dcterms:created xsi:type="dcterms:W3CDTF">2016-04-13T05:01:00Z</dcterms:created>
  <dcterms:modified xsi:type="dcterms:W3CDTF">2016-04-13T05:01:00Z</dcterms:modified>
</cp:coreProperties>
</file>